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4CFC1" w14:textId="77777777" w:rsidR="009E70C3" w:rsidRPr="009E70C3" w:rsidRDefault="009E70C3" w:rsidP="009E70C3">
      <w:pPr>
        <w:spacing w:after="0" w:line="240" w:lineRule="auto"/>
        <w:jc w:val="center"/>
        <w:rPr>
          <w:rFonts w:ascii="Calibri" w:hAnsi="Calibri" w:cs="Calibri"/>
          <w:b/>
          <w:i/>
          <w:sz w:val="18"/>
          <w:szCs w:val="32"/>
        </w:rPr>
      </w:pPr>
    </w:p>
    <w:p w14:paraId="10D3BC37" w14:textId="7E1DD22C" w:rsidR="00897F24" w:rsidRPr="009E70C3" w:rsidRDefault="00344254" w:rsidP="009E70C3">
      <w:pPr>
        <w:spacing w:after="0" w:line="240" w:lineRule="auto"/>
        <w:jc w:val="center"/>
        <w:rPr>
          <w:rFonts w:ascii="Calibri" w:hAnsi="Calibri" w:cs="Calibri"/>
          <w:b/>
          <w:i/>
          <w:sz w:val="32"/>
          <w:szCs w:val="32"/>
        </w:rPr>
      </w:pPr>
      <w:r w:rsidRPr="009E70C3">
        <w:rPr>
          <w:rFonts w:ascii="Calibri" w:hAnsi="Calibri" w:cs="Calibri"/>
          <w:b/>
          <w:i/>
          <w:sz w:val="32"/>
          <w:szCs w:val="32"/>
        </w:rPr>
        <w:t xml:space="preserve">Julia Jones Matthews </w:t>
      </w:r>
      <w:r w:rsidR="00897F24" w:rsidRPr="009E70C3">
        <w:rPr>
          <w:rFonts w:ascii="Calibri" w:hAnsi="Calibri" w:cs="Calibri"/>
          <w:b/>
          <w:i/>
          <w:sz w:val="32"/>
          <w:szCs w:val="32"/>
        </w:rPr>
        <w:t xml:space="preserve">School of Population and </w:t>
      </w:r>
      <w:r w:rsidRPr="009E70C3">
        <w:rPr>
          <w:rFonts w:ascii="Calibri" w:hAnsi="Calibri" w:cs="Calibri"/>
          <w:b/>
          <w:i/>
          <w:sz w:val="32"/>
          <w:szCs w:val="32"/>
        </w:rPr>
        <w:t xml:space="preserve">Public Health </w:t>
      </w:r>
    </w:p>
    <w:p w14:paraId="20B395C5" w14:textId="5C94C865" w:rsidR="00B55CBD" w:rsidRPr="009E70C3" w:rsidRDefault="00897F24" w:rsidP="009E70C3">
      <w:pPr>
        <w:spacing w:after="0" w:line="240" w:lineRule="auto"/>
        <w:jc w:val="center"/>
        <w:rPr>
          <w:rFonts w:ascii="Calibri" w:hAnsi="Calibri" w:cs="Calibri"/>
          <w:b/>
          <w:i/>
          <w:sz w:val="32"/>
          <w:szCs w:val="32"/>
        </w:rPr>
      </w:pPr>
      <w:r w:rsidRPr="009E70C3">
        <w:rPr>
          <w:rFonts w:ascii="Calibri" w:hAnsi="Calibri" w:cs="Calibri"/>
          <w:b/>
          <w:i/>
          <w:sz w:val="32"/>
          <w:szCs w:val="32"/>
        </w:rPr>
        <w:t>President</w:t>
      </w:r>
      <w:r w:rsidR="008F5CF8" w:rsidRPr="009E70C3">
        <w:rPr>
          <w:rFonts w:ascii="Calibri" w:hAnsi="Calibri" w:cs="Calibri"/>
          <w:b/>
          <w:i/>
          <w:sz w:val="32"/>
          <w:szCs w:val="32"/>
        </w:rPr>
        <w:t>ial</w:t>
      </w:r>
      <w:r w:rsidR="00A31036" w:rsidRPr="009E70C3">
        <w:rPr>
          <w:rFonts w:ascii="Calibri" w:hAnsi="Calibri" w:cs="Calibri"/>
          <w:b/>
          <w:i/>
          <w:sz w:val="32"/>
          <w:szCs w:val="32"/>
        </w:rPr>
        <w:t xml:space="preserve"> </w:t>
      </w:r>
      <w:r w:rsidRPr="009E70C3">
        <w:rPr>
          <w:rFonts w:ascii="Calibri" w:hAnsi="Calibri" w:cs="Calibri"/>
          <w:b/>
          <w:i/>
          <w:sz w:val="32"/>
          <w:szCs w:val="32"/>
        </w:rPr>
        <w:t xml:space="preserve">Scholars Award </w:t>
      </w:r>
    </w:p>
    <w:p w14:paraId="2A8EC576" w14:textId="7987F41F" w:rsidR="00394EC7" w:rsidRPr="009E70C3" w:rsidRDefault="00897F24" w:rsidP="009E70C3">
      <w:pPr>
        <w:spacing w:after="0" w:line="240" w:lineRule="auto"/>
        <w:rPr>
          <w:rFonts w:ascii="Calibri" w:hAnsi="Calibri" w:cs="Calibri"/>
          <w:sz w:val="20"/>
          <w:szCs w:val="24"/>
          <w:u w:val="single"/>
        </w:rPr>
      </w:pPr>
      <w:r w:rsidRPr="009E70C3">
        <w:rPr>
          <w:rFonts w:ascii="Calibri" w:hAnsi="Calibri" w:cs="Calibri"/>
          <w:b/>
          <w:i/>
          <w:noProof/>
          <w:sz w:val="24"/>
          <w:szCs w:val="32"/>
        </w:rPr>
        <mc:AlternateContent>
          <mc:Choice Requires="wps">
            <w:drawing>
              <wp:anchor distT="0" distB="0" distL="114300" distR="114300" simplePos="0" relativeHeight="251659264" behindDoc="0" locked="0" layoutInCell="1" allowOverlap="1" wp14:anchorId="282B95A1" wp14:editId="6FAD512E">
                <wp:simplePos x="0" y="0"/>
                <wp:positionH relativeFrom="margin">
                  <wp:align>center</wp:align>
                </wp:positionH>
                <wp:positionV relativeFrom="paragraph">
                  <wp:posOffset>13970</wp:posOffset>
                </wp:positionV>
                <wp:extent cx="5895975" cy="2857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895975" cy="285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2244E6" id="Straight Connector 3"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1.1pt" to="464.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ZezgEAAO0DAAAOAAAAZHJzL2Uyb0RvYy54bWysU8tu2zAQvAfoPxC815INqLUFyzkkcC9B&#10;G+TRO00tLQJ8gWQs+e+7pGQ5bdFDi+pAkNzd2Znhans7aEVO4IO0pqHLRUkJGG5baY4NfX3Zf1xT&#10;EiIzLVPWQEPPEOjt7sPNtnc1rGxnVQueIIgJde8a2sXo6qIIvAPNwsI6MBgU1msW8eiPRetZj+ha&#10;Fauy/FT01rfOWw4h4O39GKS7jC8E8PhNiACRqIYit5hXn9dDWovdltVHz1wn+USD/QMLzaTBpjPU&#10;PYuMvHn5G5SW3NtgRVxwqwsrhOSQNaCaZfmLmueOOcha0JzgZpvC/4PlX0935tGjDb0LdXCPPqkY&#10;hNdEKOm+45tmXciUDNm282wbDJFwvKzWm2rzuaKEY2y1rnCLeMUIk+CcD/ELWE3SpqFKmqSK1ez0&#10;EOKYeklJ18qQHvtuyqrMacEq2e6lUikY/PFwpzw5MXzR/b7Eb+r2Lg17K4MUrpryLp4VjA2eQBDZ&#10;IvdRXR43mGEZ52DicsJVBrNTmUAKc+FELc3pnwqn/FQKeRT/pniuyJ2tiXOxlsb60Zifu8fhQlmM&#10;+RcHRt3JgoNtz/m1szU4U/mdpvlPQ/v+nMuvf+nuBwAAAP//AwBQSwMEFAAGAAgAAAAhAMHJic7g&#10;AAAACQEAAA8AAABkcnMvZG93bnJldi54bWxMj0FLw0AQhe+C/2EZwZvdGLHWNJNSKhaiCLa29212&#10;moRmZ8PuNo3/3vWklwfDY957X74YTScGcr61jHA/SUAQV1a3XCPsvl7vZiB8UKxVZ5kQvsnDori+&#10;ylWm7YU3NGxDLWII+0whNCH0mZS+asgoP7E9cfSO1hkV4ulqqZ26xHDTyTRJptKolmNDo3paNVSd&#10;tmeDwO9vbnP6/Fjt12saHpZ9qY9liXh7M77MoyznIAKN4e8DfhnifijisIM9s/aiQ4g0ASFNQUTz&#10;OZ09gjggTJ9AFrn8T1D8AAAA//8DAFBLAQItABQABgAIAAAAIQC2gziS/gAAAOEBAAATAAAAAAAA&#10;AAAAAAAAAAAAAABbQ29udGVudF9UeXBlc10ueG1sUEsBAi0AFAAGAAgAAAAhADj9If/WAAAAlAEA&#10;AAsAAAAAAAAAAAAAAAAALwEAAF9yZWxzLy5yZWxzUEsBAi0AFAAGAAgAAAAhANGsdl7OAQAA7QMA&#10;AA4AAAAAAAAAAAAAAAAALgIAAGRycy9lMm9Eb2MueG1sUEsBAi0AFAAGAAgAAAAhAMHJic7gAAAA&#10;CQEAAA8AAAAAAAAAAAAAAAAAKAQAAGRycy9kb3ducmV2LnhtbFBLBQYAAAAABAAEAPMAAAA1BQAA&#10;AAA=&#10;" strokecolor="red" strokeweight="1.5pt">
                <w10:wrap anchorx="margin"/>
              </v:line>
            </w:pict>
          </mc:Fallback>
        </mc:AlternateContent>
      </w:r>
    </w:p>
    <w:p w14:paraId="1AC043BB" w14:textId="77777777" w:rsidR="009E70C3" w:rsidRDefault="00EE6686" w:rsidP="009E70C3">
      <w:pPr>
        <w:spacing w:after="0" w:line="240" w:lineRule="auto"/>
        <w:jc w:val="both"/>
        <w:rPr>
          <w:rFonts w:ascii="Calibri" w:hAnsi="Calibri" w:cs="Calibri"/>
          <w:sz w:val="24"/>
          <w:szCs w:val="24"/>
        </w:rPr>
      </w:pPr>
      <w:r w:rsidRPr="009E70C3">
        <w:rPr>
          <w:rFonts w:ascii="Calibri" w:hAnsi="Calibri" w:cs="Calibri"/>
          <w:b/>
          <w:sz w:val="24"/>
          <w:szCs w:val="24"/>
          <w:u w:val="single"/>
        </w:rPr>
        <w:t>SUMMARY</w:t>
      </w:r>
      <w:r w:rsidRPr="009E70C3">
        <w:rPr>
          <w:rFonts w:ascii="Calibri" w:hAnsi="Calibri" w:cs="Calibri"/>
          <w:sz w:val="24"/>
          <w:szCs w:val="24"/>
        </w:rPr>
        <w:t xml:space="preserve">: </w:t>
      </w:r>
    </w:p>
    <w:p w14:paraId="77A0159C" w14:textId="77777777" w:rsidR="009E70C3" w:rsidRPr="009E70C3" w:rsidRDefault="009E70C3" w:rsidP="009E70C3">
      <w:pPr>
        <w:spacing w:after="0" w:line="240" w:lineRule="auto"/>
        <w:jc w:val="both"/>
        <w:rPr>
          <w:rFonts w:ascii="Calibri" w:hAnsi="Calibri" w:cs="Calibri"/>
          <w:sz w:val="8"/>
          <w:szCs w:val="24"/>
        </w:rPr>
      </w:pPr>
    </w:p>
    <w:p w14:paraId="4BA44D35" w14:textId="0A980110" w:rsidR="00DC65FB" w:rsidRPr="00DC65FB" w:rsidRDefault="00DC65FB" w:rsidP="00DC65FB">
      <w:pPr>
        <w:spacing w:after="0" w:line="240" w:lineRule="auto"/>
        <w:jc w:val="both"/>
        <w:rPr>
          <w:rFonts w:ascii="Calibri" w:hAnsi="Calibri" w:cs="Calibri"/>
          <w:sz w:val="24"/>
          <w:szCs w:val="24"/>
        </w:rPr>
      </w:pPr>
      <w:r w:rsidRPr="00DC65FB">
        <w:rPr>
          <w:rFonts w:ascii="Calibri" w:hAnsi="Calibri" w:cs="Calibri"/>
          <w:sz w:val="24"/>
          <w:szCs w:val="24"/>
        </w:rPr>
        <w:t>The Julia Jones Matthews School of Population and Public Health (</w:t>
      </w:r>
      <w:proofErr w:type="gramStart"/>
      <w:r w:rsidRPr="00DC65FB">
        <w:rPr>
          <w:rFonts w:ascii="Calibri" w:hAnsi="Calibri" w:cs="Calibri"/>
          <w:sz w:val="24"/>
          <w:szCs w:val="24"/>
        </w:rPr>
        <w:t>JJMSPPH)  Presidential</w:t>
      </w:r>
      <w:proofErr w:type="gramEnd"/>
      <w:r w:rsidRPr="00DC65FB">
        <w:rPr>
          <w:rFonts w:ascii="Calibri" w:hAnsi="Calibri" w:cs="Calibri"/>
          <w:sz w:val="24"/>
          <w:szCs w:val="24"/>
        </w:rPr>
        <w:t xml:space="preserve"> Scholarship is an opportunity for dedicated public health students to engage in service-learning activities with organizations or agencies in their communities. "Service-learning" is a structured learning experience that combines community service with preparation and reflection, and results in benefits to the host organization as well as the student.</w:t>
      </w:r>
    </w:p>
    <w:p w14:paraId="49F967CF" w14:textId="77777777" w:rsidR="00DC65FB" w:rsidRDefault="00DC65FB" w:rsidP="009E70C3">
      <w:pPr>
        <w:spacing w:after="0" w:line="240" w:lineRule="auto"/>
        <w:jc w:val="both"/>
        <w:rPr>
          <w:rFonts w:ascii="Calibri" w:hAnsi="Calibri" w:cs="Calibri"/>
          <w:sz w:val="24"/>
          <w:szCs w:val="24"/>
        </w:rPr>
      </w:pPr>
    </w:p>
    <w:p w14:paraId="37ABCEC5" w14:textId="77777777" w:rsidR="00DC65FB" w:rsidRPr="00DC65FB" w:rsidRDefault="00DC65FB" w:rsidP="00DC65FB">
      <w:pPr>
        <w:spacing w:after="0" w:line="240" w:lineRule="auto"/>
        <w:jc w:val="both"/>
        <w:rPr>
          <w:rFonts w:ascii="Calibri" w:hAnsi="Calibri" w:cs="Calibri"/>
          <w:sz w:val="24"/>
          <w:szCs w:val="24"/>
        </w:rPr>
      </w:pPr>
      <w:r>
        <w:rPr>
          <w:rFonts w:ascii="Calibri" w:hAnsi="Calibri" w:cs="Calibri"/>
          <w:sz w:val="24"/>
          <w:szCs w:val="24"/>
        </w:rPr>
        <w:t>T</w:t>
      </w:r>
      <w:r w:rsidR="005B4F87" w:rsidRPr="009E70C3">
        <w:rPr>
          <w:rFonts w:ascii="Calibri" w:hAnsi="Calibri" w:cs="Calibri"/>
          <w:sz w:val="24"/>
          <w:szCs w:val="24"/>
        </w:rPr>
        <w:t xml:space="preserve">he </w:t>
      </w:r>
      <w:proofErr w:type="gramStart"/>
      <w:r w:rsidR="005B4F87" w:rsidRPr="009E70C3">
        <w:rPr>
          <w:rFonts w:ascii="Calibri" w:hAnsi="Calibri" w:cs="Calibri"/>
          <w:sz w:val="24"/>
          <w:szCs w:val="24"/>
        </w:rPr>
        <w:t>School</w:t>
      </w:r>
      <w:proofErr w:type="gramEnd"/>
      <w:r w:rsidR="005B4F87" w:rsidRPr="009E70C3">
        <w:rPr>
          <w:rFonts w:ascii="Calibri" w:hAnsi="Calibri" w:cs="Calibri"/>
          <w:sz w:val="24"/>
          <w:szCs w:val="24"/>
        </w:rPr>
        <w:t xml:space="preserve"> will award scholarships of </w:t>
      </w:r>
      <w:r w:rsidR="00413746" w:rsidRPr="009E70C3">
        <w:rPr>
          <w:rFonts w:ascii="Calibri" w:hAnsi="Calibri" w:cs="Calibri"/>
          <w:sz w:val="24"/>
          <w:szCs w:val="24"/>
        </w:rPr>
        <w:t xml:space="preserve">up to </w:t>
      </w:r>
      <w:r w:rsidR="005B4F87" w:rsidRPr="009E70C3">
        <w:rPr>
          <w:rFonts w:ascii="Calibri" w:hAnsi="Calibri" w:cs="Calibri"/>
          <w:sz w:val="24"/>
          <w:szCs w:val="24"/>
        </w:rPr>
        <w:t xml:space="preserve">$5,000 to selected students </w:t>
      </w:r>
      <w:r w:rsidR="00167F6C" w:rsidRPr="009E70C3">
        <w:rPr>
          <w:rFonts w:ascii="Calibri" w:hAnsi="Calibri" w:cs="Calibri"/>
          <w:sz w:val="24"/>
          <w:szCs w:val="24"/>
        </w:rPr>
        <w:t>for</w:t>
      </w:r>
      <w:r w:rsidR="005B4F87" w:rsidRPr="009E70C3">
        <w:rPr>
          <w:rFonts w:ascii="Calibri" w:hAnsi="Calibri" w:cs="Calibri"/>
          <w:sz w:val="24"/>
          <w:szCs w:val="24"/>
        </w:rPr>
        <w:t xml:space="preserve"> Fall and Spring semesters of appointment as a </w:t>
      </w:r>
      <w:r w:rsidR="00A31036" w:rsidRPr="009E70C3">
        <w:rPr>
          <w:rFonts w:ascii="Calibri" w:hAnsi="Calibri" w:cs="Calibri"/>
          <w:sz w:val="24"/>
          <w:szCs w:val="24"/>
        </w:rPr>
        <w:t>President</w:t>
      </w:r>
      <w:r w:rsidR="009E70C3">
        <w:rPr>
          <w:rFonts w:ascii="Calibri" w:hAnsi="Calibri" w:cs="Calibri"/>
          <w:sz w:val="24"/>
          <w:szCs w:val="24"/>
        </w:rPr>
        <w:t>ial</w:t>
      </w:r>
      <w:r w:rsidR="00A31036" w:rsidRPr="009E70C3">
        <w:rPr>
          <w:rFonts w:ascii="Calibri" w:hAnsi="Calibri" w:cs="Calibri"/>
          <w:sz w:val="24"/>
          <w:szCs w:val="24"/>
        </w:rPr>
        <w:t xml:space="preserve"> Scholar</w:t>
      </w:r>
      <w:r>
        <w:rPr>
          <w:rFonts w:ascii="Calibri" w:hAnsi="Calibri" w:cs="Calibri"/>
          <w:sz w:val="24"/>
          <w:szCs w:val="24"/>
        </w:rPr>
        <w:t xml:space="preserve"> (</w:t>
      </w:r>
      <w:r w:rsidRPr="00DC65FB">
        <w:rPr>
          <w:rFonts w:ascii="Calibri" w:hAnsi="Calibri" w:cs="Calibri"/>
          <w:sz w:val="24"/>
          <w:szCs w:val="24"/>
        </w:rPr>
        <w:t xml:space="preserve">Spring award is contingent upon sufficient </w:t>
      </w:r>
    </w:p>
    <w:p w14:paraId="79F8E2F1" w14:textId="7E823765" w:rsidR="00DC65FB" w:rsidRDefault="00DC65FB" w:rsidP="00DC65FB">
      <w:pPr>
        <w:spacing w:after="0" w:line="240" w:lineRule="auto"/>
        <w:jc w:val="both"/>
        <w:rPr>
          <w:rFonts w:ascii="Calibri" w:hAnsi="Calibri" w:cs="Calibri"/>
          <w:sz w:val="24"/>
          <w:szCs w:val="24"/>
        </w:rPr>
      </w:pPr>
      <w:r w:rsidRPr="00DC65FB">
        <w:rPr>
          <w:rFonts w:ascii="Calibri" w:hAnsi="Calibri" w:cs="Calibri"/>
          <w:sz w:val="24"/>
          <w:szCs w:val="24"/>
        </w:rPr>
        <w:t>progress during the Fall semester</w:t>
      </w:r>
      <w:r>
        <w:rPr>
          <w:rFonts w:ascii="Calibri" w:hAnsi="Calibri" w:cs="Calibri"/>
          <w:sz w:val="24"/>
          <w:szCs w:val="24"/>
        </w:rPr>
        <w:t>)</w:t>
      </w:r>
      <w:r w:rsidR="005B4F87" w:rsidRPr="009E70C3">
        <w:rPr>
          <w:rFonts w:ascii="Calibri" w:hAnsi="Calibri" w:cs="Calibri"/>
          <w:sz w:val="24"/>
          <w:szCs w:val="24"/>
        </w:rPr>
        <w:t xml:space="preserve">. </w:t>
      </w:r>
      <w:r w:rsidR="00752BF3" w:rsidRPr="009E70C3">
        <w:rPr>
          <w:rFonts w:ascii="Calibri" w:hAnsi="Calibri" w:cs="Calibri"/>
          <w:sz w:val="24"/>
          <w:szCs w:val="24"/>
        </w:rPr>
        <w:t xml:space="preserve">Students must be </w:t>
      </w:r>
      <w:r w:rsidR="00A31036" w:rsidRPr="009E70C3">
        <w:rPr>
          <w:rFonts w:ascii="Calibri" w:hAnsi="Calibri" w:cs="Calibri"/>
          <w:sz w:val="24"/>
          <w:szCs w:val="24"/>
        </w:rPr>
        <w:t xml:space="preserve">enrolled </w:t>
      </w:r>
      <w:r w:rsidR="00752BF3" w:rsidRPr="009E70C3">
        <w:rPr>
          <w:rFonts w:ascii="Calibri" w:hAnsi="Calibri" w:cs="Calibri"/>
          <w:sz w:val="24"/>
          <w:szCs w:val="24"/>
        </w:rPr>
        <w:t>full time</w:t>
      </w:r>
      <w:r w:rsidR="00A31036" w:rsidRPr="009E70C3">
        <w:rPr>
          <w:rFonts w:ascii="Calibri" w:hAnsi="Calibri" w:cs="Calibri"/>
          <w:sz w:val="24"/>
          <w:szCs w:val="24"/>
        </w:rPr>
        <w:t xml:space="preserve"> throughout the course of the scholarship</w:t>
      </w:r>
      <w:r w:rsidR="00752BF3" w:rsidRPr="009E70C3">
        <w:rPr>
          <w:rFonts w:ascii="Calibri" w:hAnsi="Calibri" w:cs="Calibri"/>
          <w:sz w:val="24"/>
          <w:szCs w:val="24"/>
        </w:rPr>
        <w:t xml:space="preserve">. </w:t>
      </w:r>
    </w:p>
    <w:p w14:paraId="71F88874" w14:textId="445B3479" w:rsidR="00EE6686" w:rsidRDefault="00752BF3" w:rsidP="009E70C3">
      <w:pPr>
        <w:spacing w:after="0" w:line="240" w:lineRule="auto"/>
        <w:jc w:val="both"/>
        <w:rPr>
          <w:rFonts w:ascii="Calibri" w:hAnsi="Calibri" w:cs="Calibri"/>
          <w:sz w:val="24"/>
          <w:szCs w:val="24"/>
        </w:rPr>
      </w:pPr>
      <w:r w:rsidRPr="009E70C3">
        <w:rPr>
          <w:rFonts w:ascii="Calibri" w:hAnsi="Calibri" w:cs="Calibri"/>
          <w:sz w:val="24"/>
          <w:szCs w:val="24"/>
        </w:rPr>
        <w:t xml:space="preserve"> </w:t>
      </w:r>
    </w:p>
    <w:p w14:paraId="239D6E4C" w14:textId="77777777" w:rsidR="009E70C3" w:rsidRPr="009E70C3" w:rsidRDefault="009E70C3" w:rsidP="009E70C3">
      <w:pPr>
        <w:spacing w:after="0" w:line="240" w:lineRule="auto"/>
        <w:jc w:val="both"/>
        <w:rPr>
          <w:rFonts w:ascii="Calibri" w:hAnsi="Calibri" w:cs="Calibri"/>
          <w:sz w:val="20"/>
          <w:szCs w:val="24"/>
        </w:rPr>
      </w:pPr>
    </w:p>
    <w:p w14:paraId="4964F2A8" w14:textId="77777777" w:rsidR="009E70C3" w:rsidRDefault="00300F55" w:rsidP="009E70C3">
      <w:pPr>
        <w:spacing w:after="0" w:line="240" w:lineRule="auto"/>
        <w:jc w:val="both"/>
        <w:rPr>
          <w:rFonts w:ascii="Calibri" w:hAnsi="Calibri" w:cs="Calibri"/>
          <w:sz w:val="24"/>
          <w:szCs w:val="24"/>
          <w:u w:val="single"/>
        </w:rPr>
      </w:pPr>
      <w:r w:rsidRPr="009E70C3">
        <w:rPr>
          <w:rFonts w:ascii="Calibri" w:hAnsi="Calibri" w:cs="Calibri"/>
          <w:b/>
          <w:sz w:val="24"/>
          <w:szCs w:val="24"/>
          <w:u w:val="single"/>
        </w:rPr>
        <w:t>REQUIREMENTS</w:t>
      </w:r>
      <w:r w:rsidRPr="009E70C3">
        <w:rPr>
          <w:rFonts w:ascii="Calibri" w:hAnsi="Calibri" w:cs="Calibri"/>
          <w:sz w:val="24"/>
          <w:szCs w:val="24"/>
        </w:rPr>
        <w:t>:</w:t>
      </w:r>
      <w:r w:rsidRPr="009E70C3">
        <w:rPr>
          <w:rFonts w:ascii="Calibri" w:hAnsi="Calibri" w:cs="Calibri"/>
          <w:sz w:val="24"/>
          <w:szCs w:val="24"/>
          <w:u w:val="single"/>
        </w:rPr>
        <w:t xml:space="preserve"> </w:t>
      </w:r>
    </w:p>
    <w:p w14:paraId="4FD76351" w14:textId="77777777" w:rsidR="009E70C3" w:rsidRPr="009E70C3" w:rsidRDefault="009E70C3" w:rsidP="009E70C3">
      <w:pPr>
        <w:spacing w:after="0" w:line="240" w:lineRule="auto"/>
        <w:jc w:val="both"/>
        <w:rPr>
          <w:rFonts w:ascii="Calibri" w:hAnsi="Calibri" w:cs="Calibri"/>
          <w:sz w:val="8"/>
          <w:szCs w:val="24"/>
        </w:rPr>
      </w:pPr>
    </w:p>
    <w:p w14:paraId="52E8F200" w14:textId="75CBDFDA" w:rsidR="00DC65FB" w:rsidRPr="00DC65FB" w:rsidRDefault="00DD1EA0" w:rsidP="009E70C3">
      <w:pPr>
        <w:spacing w:after="0" w:line="240" w:lineRule="auto"/>
        <w:jc w:val="both"/>
        <w:rPr>
          <w:rFonts w:cstheme="minorHAnsi"/>
          <w:sz w:val="24"/>
          <w:szCs w:val="24"/>
        </w:rPr>
      </w:pPr>
      <w:r w:rsidRPr="009E70C3">
        <w:rPr>
          <w:rFonts w:ascii="Calibri" w:hAnsi="Calibri" w:cs="Calibri"/>
          <w:sz w:val="24"/>
          <w:szCs w:val="24"/>
        </w:rPr>
        <w:t>Scholarships</w:t>
      </w:r>
      <w:r w:rsidR="00DE4B44" w:rsidRPr="009E70C3">
        <w:rPr>
          <w:rFonts w:ascii="Calibri" w:hAnsi="Calibri" w:cs="Calibri"/>
          <w:sz w:val="24"/>
          <w:szCs w:val="24"/>
        </w:rPr>
        <w:t xml:space="preserve"> </w:t>
      </w:r>
      <w:r w:rsidR="002C082E" w:rsidRPr="009E70C3">
        <w:rPr>
          <w:rFonts w:ascii="Calibri" w:hAnsi="Calibri" w:cs="Calibri"/>
          <w:sz w:val="24"/>
          <w:szCs w:val="24"/>
        </w:rPr>
        <w:t>will be</w:t>
      </w:r>
      <w:r w:rsidRPr="009E70C3">
        <w:rPr>
          <w:rFonts w:ascii="Calibri" w:hAnsi="Calibri" w:cs="Calibri"/>
          <w:sz w:val="24"/>
          <w:szCs w:val="24"/>
        </w:rPr>
        <w:t xml:space="preserve"> awarded to </w:t>
      </w:r>
      <w:r w:rsidR="00897F24" w:rsidRPr="009E70C3">
        <w:rPr>
          <w:rFonts w:ascii="Calibri" w:hAnsi="Calibri" w:cs="Calibri"/>
          <w:sz w:val="24"/>
          <w:szCs w:val="24"/>
        </w:rPr>
        <w:t>students</w:t>
      </w:r>
      <w:r w:rsidR="00300F55" w:rsidRPr="009E70C3">
        <w:rPr>
          <w:rFonts w:ascii="Calibri" w:hAnsi="Calibri" w:cs="Calibri"/>
          <w:sz w:val="24"/>
          <w:szCs w:val="24"/>
        </w:rPr>
        <w:t xml:space="preserve"> </w:t>
      </w:r>
      <w:r w:rsidR="00FA721E">
        <w:rPr>
          <w:rFonts w:ascii="Calibri" w:hAnsi="Calibri" w:cs="Calibri"/>
          <w:sz w:val="24"/>
          <w:szCs w:val="24"/>
        </w:rPr>
        <w:t xml:space="preserve">enrolled in or </w:t>
      </w:r>
      <w:r w:rsidR="00300F55" w:rsidRPr="009E70C3">
        <w:rPr>
          <w:rFonts w:ascii="Calibri" w:hAnsi="Calibri" w:cs="Calibri"/>
          <w:sz w:val="24"/>
          <w:szCs w:val="24"/>
        </w:rPr>
        <w:t xml:space="preserve">accepted into </w:t>
      </w:r>
      <w:r w:rsidR="0084107C" w:rsidRPr="009E70C3">
        <w:rPr>
          <w:rFonts w:ascii="Calibri" w:hAnsi="Calibri" w:cs="Calibri"/>
          <w:sz w:val="24"/>
          <w:szCs w:val="24"/>
        </w:rPr>
        <w:t xml:space="preserve">programs of the </w:t>
      </w:r>
      <w:r w:rsidR="00A31036" w:rsidRPr="009E70C3">
        <w:rPr>
          <w:rFonts w:ascii="Calibri" w:hAnsi="Calibri" w:cs="Calibri"/>
          <w:sz w:val="24"/>
          <w:szCs w:val="24"/>
        </w:rPr>
        <w:t>School</w:t>
      </w:r>
      <w:r w:rsidR="00897F24" w:rsidRPr="009E70C3">
        <w:rPr>
          <w:rFonts w:ascii="Calibri" w:hAnsi="Calibri" w:cs="Calibri"/>
          <w:sz w:val="24"/>
          <w:szCs w:val="24"/>
        </w:rPr>
        <w:t xml:space="preserve"> </w:t>
      </w:r>
      <w:bookmarkStart w:id="0" w:name="_Hlk108946215"/>
      <w:r w:rsidR="00897F24" w:rsidRPr="009E70C3">
        <w:rPr>
          <w:rFonts w:ascii="Calibri" w:hAnsi="Calibri" w:cs="Calibri"/>
          <w:sz w:val="24"/>
          <w:szCs w:val="24"/>
        </w:rPr>
        <w:t xml:space="preserve">and who agree to </w:t>
      </w:r>
      <w:r w:rsidR="00B321CA" w:rsidRPr="009E70C3">
        <w:rPr>
          <w:rFonts w:ascii="Calibri" w:hAnsi="Calibri" w:cs="Calibri"/>
          <w:sz w:val="24"/>
          <w:szCs w:val="24"/>
        </w:rPr>
        <w:t xml:space="preserve">engage in </w:t>
      </w:r>
      <w:r w:rsidR="00FA721E" w:rsidRPr="009E70C3">
        <w:rPr>
          <w:rFonts w:ascii="Calibri" w:hAnsi="Calibri" w:cs="Calibri"/>
          <w:sz w:val="24"/>
          <w:szCs w:val="24"/>
        </w:rPr>
        <w:t>service</w:t>
      </w:r>
      <w:r w:rsidR="00FA721E">
        <w:rPr>
          <w:rFonts w:ascii="Calibri" w:hAnsi="Calibri" w:cs="Calibri"/>
          <w:sz w:val="24"/>
          <w:szCs w:val="24"/>
        </w:rPr>
        <w:t>-</w:t>
      </w:r>
      <w:r w:rsidR="00897F24" w:rsidRPr="009E70C3">
        <w:rPr>
          <w:rFonts w:ascii="Calibri" w:hAnsi="Calibri" w:cs="Calibri"/>
          <w:sz w:val="24"/>
          <w:szCs w:val="24"/>
        </w:rPr>
        <w:t xml:space="preserve">learning activities in their communities. “Service-learning” is defined as a structured learning experience that combines community service with preparation and reflection.  </w:t>
      </w:r>
      <w:bookmarkEnd w:id="0"/>
      <w:r w:rsidR="00897F24" w:rsidRPr="009E70C3">
        <w:rPr>
          <w:rFonts w:ascii="Calibri" w:hAnsi="Calibri" w:cs="Calibri"/>
          <w:sz w:val="24"/>
          <w:szCs w:val="24"/>
        </w:rPr>
        <w:t>Students engaged in service-learning provide community service in response to community-identified concerns and learn about the context in which the service is provided, the connection between their service</w:t>
      </w:r>
      <w:r w:rsidR="00B321CA" w:rsidRPr="009E70C3">
        <w:rPr>
          <w:rFonts w:ascii="Calibri" w:hAnsi="Calibri" w:cs="Calibri"/>
          <w:sz w:val="24"/>
          <w:szCs w:val="24"/>
        </w:rPr>
        <w:t>s</w:t>
      </w:r>
      <w:r w:rsidR="00897F24" w:rsidRPr="009E70C3">
        <w:rPr>
          <w:rFonts w:ascii="Calibri" w:hAnsi="Calibri" w:cs="Calibri"/>
          <w:sz w:val="24"/>
          <w:szCs w:val="24"/>
        </w:rPr>
        <w:t xml:space="preserve"> and their academic coursework, and their roles as citizens and professionals. </w:t>
      </w:r>
      <w:r w:rsidR="0007550B" w:rsidRPr="009E70C3">
        <w:rPr>
          <w:rFonts w:ascii="Calibri" w:hAnsi="Calibri" w:cs="Calibri"/>
          <w:sz w:val="24"/>
          <w:szCs w:val="24"/>
        </w:rPr>
        <w:t xml:space="preserve">The recipients should show a commitment to the TTUHSC values through their service learning projects </w:t>
      </w:r>
      <w:r w:rsidR="00B321CA" w:rsidRPr="009E70C3">
        <w:rPr>
          <w:rFonts w:ascii="Calibri" w:hAnsi="Calibri" w:cs="Calibri"/>
          <w:sz w:val="24"/>
          <w:szCs w:val="24"/>
        </w:rPr>
        <w:t>and their</w:t>
      </w:r>
      <w:r w:rsidR="0007550B" w:rsidRPr="009E70C3">
        <w:rPr>
          <w:rFonts w:ascii="Calibri" w:hAnsi="Calibri" w:cs="Calibri"/>
          <w:sz w:val="24"/>
          <w:szCs w:val="24"/>
        </w:rPr>
        <w:t xml:space="preserve"> reflections on the TTUHSC, the School, and the Office of the </w:t>
      </w:r>
      <w:r w:rsidR="0007550B" w:rsidRPr="00DC65FB">
        <w:rPr>
          <w:rFonts w:cstheme="minorHAnsi"/>
          <w:sz w:val="24"/>
          <w:szCs w:val="24"/>
        </w:rPr>
        <w:t xml:space="preserve">President. </w:t>
      </w:r>
      <w:r w:rsidR="002C082E" w:rsidRPr="00DC65FB">
        <w:rPr>
          <w:rFonts w:cstheme="minorHAnsi"/>
          <w:sz w:val="24"/>
          <w:szCs w:val="24"/>
        </w:rPr>
        <w:t>Scholars will</w:t>
      </w:r>
      <w:r w:rsidR="00DC65FB">
        <w:rPr>
          <w:rFonts w:cstheme="minorHAnsi"/>
          <w:sz w:val="24"/>
          <w:szCs w:val="24"/>
        </w:rPr>
        <w:t>:</w:t>
      </w:r>
      <w:r w:rsidR="002C082E" w:rsidRPr="00DC65FB">
        <w:rPr>
          <w:rFonts w:cstheme="minorHAnsi"/>
          <w:sz w:val="24"/>
          <w:szCs w:val="24"/>
        </w:rPr>
        <w:t xml:space="preserve"> </w:t>
      </w:r>
    </w:p>
    <w:p w14:paraId="0E077025" w14:textId="77777777" w:rsidR="00DC65FB" w:rsidRPr="00DC65FB" w:rsidRDefault="00DC65FB" w:rsidP="00DC65FB">
      <w:pPr>
        <w:numPr>
          <w:ilvl w:val="0"/>
          <w:numId w:val="6"/>
        </w:numPr>
        <w:shd w:val="clear" w:color="auto" w:fill="FFFFFF"/>
        <w:spacing w:after="150" w:line="240" w:lineRule="auto"/>
        <w:rPr>
          <w:rFonts w:eastAsia="Times New Roman" w:cstheme="minorHAnsi"/>
          <w:color w:val="000000"/>
          <w:sz w:val="24"/>
          <w:szCs w:val="24"/>
        </w:rPr>
      </w:pPr>
      <w:r w:rsidRPr="00DC65FB">
        <w:rPr>
          <w:rFonts w:eastAsia="Times New Roman" w:cstheme="minorHAnsi"/>
          <w:color w:val="000000"/>
          <w:sz w:val="24"/>
          <w:szCs w:val="24"/>
        </w:rPr>
        <w:t>Attend required monthly meetings with the Presidential Scholar Faculty Advisor (via Zoom) and fellow Scholars.</w:t>
      </w:r>
    </w:p>
    <w:p w14:paraId="4E65F223" w14:textId="77777777" w:rsidR="00DC65FB" w:rsidRPr="00DC65FB" w:rsidRDefault="00DC65FB" w:rsidP="00DC65FB">
      <w:pPr>
        <w:numPr>
          <w:ilvl w:val="0"/>
          <w:numId w:val="6"/>
        </w:numPr>
        <w:shd w:val="clear" w:color="auto" w:fill="FFFFFF"/>
        <w:spacing w:after="150" w:line="240" w:lineRule="auto"/>
        <w:rPr>
          <w:rFonts w:eastAsia="Times New Roman" w:cstheme="minorHAnsi"/>
          <w:color w:val="000000"/>
          <w:sz w:val="24"/>
          <w:szCs w:val="24"/>
        </w:rPr>
      </w:pPr>
      <w:r w:rsidRPr="00DC65FB">
        <w:rPr>
          <w:rFonts w:eastAsia="Times New Roman" w:cstheme="minorHAnsi"/>
          <w:color w:val="000000"/>
          <w:sz w:val="24"/>
          <w:szCs w:val="24"/>
        </w:rPr>
        <w:t>Complete regular progress updates and reflections, including a progress checkpoint at the end of the Fall semester.</w:t>
      </w:r>
    </w:p>
    <w:p w14:paraId="3807197C" w14:textId="62523E2A" w:rsidR="00DC65FB" w:rsidRPr="00DC65FB" w:rsidRDefault="00DC65FB" w:rsidP="00DC65FB">
      <w:pPr>
        <w:numPr>
          <w:ilvl w:val="0"/>
          <w:numId w:val="6"/>
        </w:numPr>
        <w:shd w:val="clear" w:color="auto" w:fill="FFFFFF"/>
        <w:spacing w:after="150" w:line="240" w:lineRule="auto"/>
        <w:rPr>
          <w:rFonts w:eastAsia="Times New Roman" w:cstheme="minorHAnsi"/>
          <w:color w:val="000000"/>
          <w:sz w:val="24"/>
          <w:szCs w:val="24"/>
        </w:rPr>
      </w:pPr>
      <w:r w:rsidRPr="00DC65FB">
        <w:rPr>
          <w:rFonts w:eastAsia="Times New Roman" w:cstheme="minorHAnsi"/>
          <w:color w:val="000000"/>
          <w:sz w:val="24"/>
          <w:szCs w:val="24"/>
        </w:rPr>
        <w:t xml:space="preserve">Provide a final reflection paper, poster, and oral presentation at the end of the scholarship.  </w:t>
      </w:r>
    </w:p>
    <w:p w14:paraId="71808BB3" w14:textId="77D6C4DC" w:rsidR="002C082E" w:rsidRDefault="00577661" w:rsidP="009E70C3">
      <w:pPr>
        <w:spacing w:after="0" w:line="240" w:lineRule="auto"/>
        <w:jc w:val="both"/>
        <w:rPr>
          <w:rFonts w:ascii="Calibri" w:hAnsi="Calibri" w:cs="Calibri"/>
          <w:sz w:val="24"/>
          <w:szCs w:val="24"/>
        </w:rPr>
      </w:pPr>
      <w:r w:rsidRPr="009E70C3">
        <w:rPr>
          <w:rFonts w:ascii="Calibri" w:hAnsi="Calibri" w:cs="Calibri"/>
          <w:sz w:val="24"/>
          <w:szCs w:val="24"/>
        </w:rPr>
        <w:t xml:space="preserve"> </w:t>
      </w:r>
    </w:p>
    <w:p w14:paraId="52109406" w14:textId="77777777" w:rsidR="009E70C3" w:rsidRPr="009E70C3" w:rsidRDefault="009E70C3" w:rsidP="009E70C3">
      <w:pPr>
        <w:spacing w:after="0" w:line="240" w:lineRule="auto"/>
        <w:jc w:val="both"/>
        <w:rPr>
          <w:rFonts w:ascii="Calibri" w:hAnsi="Calibri" w:cs="Calibri"/>
          <w:sz w:val="24"/>
          <w:szCs w:val="24"/>
        </w:rPr>
      </w:pPr>
    </w:p>
    <w:p w14:paraId="248576D1" w14:textId="13C005C6" w:rsidR="00D56985" w:rsidRPr="009E70C3" w:rsidRDefault="00300F55" w:rsidP="009E70C3">
      <w:pPr>
        <w:spacing w:after="0" w:line="240" w:lineRule="auto"/>
        <w:rPr>
          <w:rFonts w:ascii="Calibri" w:hAnsi="Calibri" w:cs="Calibri"/>
          <w:sz w:val="24"/>
          <w:szCs w:val="24"/>
        </w:rPr>
      </w:pPr>
      <w:r w:rsidRPr="009E70C3">
        <w:rPr>
          <w:rFonts w:ascii="Calibri" w:hAnsi="Calibri" w:cs="Calibri"/>
          <w:b/>
          <w:sz w:val="24"/>
          <w:szCs w:val="24"/>
          <w:u w:val="single"/>
        </w:rPr>
        <w:t>NOMINATIONS</w:t>
      </w:r>
      <w:r w:rsidRPr="009E70C3">
        <w:rPr>
          <w:rFonts w:ascii="Calibri" w:hAnsi="Calibri" w:cs="Calibri"/>
          <w:sz w:val="24"/>
          <w:szCs w:val="24"/>
        </w:rPr>
        <w:t xml:space="preserve">: </w:t>
      </w:r>
      <w:r w:rsidR="00315D34" w:rsidRPr="009E70C3">
        <w:rPr>
          <w:rFonts w:ascii="Calibri" w:hAnsi="Calibri" w:cs="Calibri"/>
          <w:sz w:val="24"/>
          <w:szCs w:val="24"/>
        </w:rPr>
        <w:t>Continuing and newly admitted</w:t>
      </w:r>
      <w:r w:rsidR="00371E60" w:rsidRPr="009E70C3">
        <w:rPr>
          <w:rFonts w:ascii="Calibri" w:hAnsi="Calibri" w:cs="Calibri"/>
          <w:sz w:val="24"/>
          <w:szCs w:val="24"/>
        </w:rPr>
        <w:t xml:space="preserve"> </w:t>
      </w:r>
      <w:r w:rsidR="00315D34" w:rsidRPr="009E70C3">
        <w:rPr>
          <w:rFonts w:ascii="Calibri" w:hAnsi="Calibri" w:cs="Calibri"/>
          <w:sz w:val="24"/>
          <w:szCs w:val="24"/>
        </w:rPr>
        <w:t xml:space="preserve">students </w:t>
      </w:r>
      <w:r w:rsidR="00CF1FAA" w:rsidRPr="009E70C3">
        <w:rPr>
          <w:rFonts w:ascii="Calibri" w:hAnsi="Calibri" w:cs="Calibri"/>
          <w:sz w:val="24"/>
          <w:szCs w:val="24"/>
        </w:rPr>
        <w:t xml:space="preserve">to </w:t>
      </w:r>
      <w:r w:rsidR="00FA721E">
        <w:rPr>
          <w:rFonts w:ascii="Calibri" w:hAnsi="Calibri" w:cs="Calibri"/>
          <w:sz w:val="24"/>
          <w:szCs w:val="24"/>
        </w:rPr>
        <w:t>any degree program in the Julia Jones Matthews School of Population and Public Health</w:t>
      </w:r>
      <w:r w:rsidR="00CF1FAA" w:rsidRPr="009E70C3">
        <w:rPr>
          <w:rFonts w:ascii="Calibri" w:hAnsi="Calibri" w:cs="Calibri"/>
          <w:sz w:val="24"/>
          <w:szCs w:val="24"/>
        </w:rPr>
        <w:t xml:space="preserve"> </w:t>
      </w:r>
      <w:r w:rsidR="00577661" w:rsidRPr="009E70C3">
        <w:rPr>
          <w:rFonts w:ascii="Calibri" w:hAnsi="Calibri" w:cs="Calibri"/>
          <w:sz w:val="24"/>
          <w:szCs w:val="24"/>
        </w:rPr>
        <w:t>may</w:t>
      </w:r>
      <w:r w:rsidR="00344254" w:rsidRPr="009E70C3">
        <w:rPr>
          <w:rFonts w:ascii="Calibri" w:hAnsi="Calibri" w:cs="Calibri"/>
          <w:sz w:val="24"/>
          <w:szCs w:val="24"/>
        </w:rPr>
        <w:t xml:space="preserve"> </w:t>
      </w:r>
      <w:r w:rsidR="00577661" w:rsidRPr="009E70C3">
        <w:rPr>
          <w:rFonts w:ascii="Calibri" w:hAnsi="Calibri" w:cs="Calibri"/>
          <w:sz w:val="24"/>
          <w:szCs w:val="24"/>
        </w:rPr>
        <w:t>apply.</w:t>
      </w:r>
      <w:r w:rsidR="00FA721E">
        <w:rPr>
          <w:rFonts w:ascii="Calibri" w:hAnsi="Calibri" w:cs="Calibri"/>
          <w:sz w:val="24"/>
          <w:szCs w:val="24"/>
        </w:rPr>
        <w:t xml:space="preserve"> Students enrolled only in the Public Health Certificate Program are not eligible.</w:t>
      </w:r>
    </w:p>
    <w:p w14:paraId="568710CD" w14:textId="77777777" w:rsidR="009E70C3" w:rsidRPr="009E70C3" w:rsidRDefault="009E70C3" w:rsidP="009E70C3">
      <w:pPr>
        <w:spacing w:after="0" w:line="240" w:lineRule="auto"/>
        <w:jc w:val="both"/>
        <w:rPr>
          <w:rFonts w:ascii="Calibri" w:hAnsi="Calibri" w:cs="Calibri"/>
          <w:sz w:val="24"/>
          <w:szCs w:val="24"/>
          <w:u w:val="single"/>
        </w:rPr>
      </w:pPr>
    </w:p>
    <w:p w14:paraId="2131CD2E" w14:textId="77777777" w:rsidR="00DC65FB" w:rsidRDefault="00DC65FB" w:rsidP="009E70C3">
      <w:pPr>
        <w:spacing w:after="0" w:line="240" w:lineRule="auto"/>
        <w:jc w:val="both"/>
        <w:rPr>
          <w:rFonts w:ascii="Calibri" w:hAnsi="Calibri" w:cs="Calibri"/>
          <w:b/>
          <w:sz w:val="24"/>
          <w:szCs w:val="24"/>
          <w:u w:val="single"/>
        </w:rPr>
      </w:pPr>
    </w:p>
    <w:p w14:paraId="38BF2297" w14:textId="77777777" w:rsidR="00DC65FB" w:rsidRDefault="00DC65FB" w:rsidP="009E70C3">
      <w:pPr>
        <w:spacing w:after="0" w:line="240" w:lineRule="auto"/>
        <w:jc w:val="both"/>
        <w:rPr>
          <w:rFonts w:ascii="Calibri" w:hAnsi="Calibri" w:cs="Calibri"/>
          <w:b/>
          <w:sz w:val="24"/>
          <w:szCs w:val="24"/>
          <w:u w:val="single"/>
        </w:rPr>
      </w:pPr>
    </w:p>
    <w:p w14:paraId="59B2626F" w14:textId="77777777" w:rsidR="00DC65FB" w:rsidRDefault="00DC65FB" w:rsidP="009E70C3">
      <w:pPr>
        <w:spacing w:after="0" w:line="240" w:lineRule="auto"/>
        <w:jc w:val="both"/>
        <w:rPr>
          <w:rFonts w:ascii="Calibri" w:hAnsi="Calibri" w:cs="Calibri"/>
          <w:b/>
          <w:sz w:val="24"/>
          <w:szCs w:val="24"/>
          <w:u w:val="single"/>
        </w:rPr>
      </w:pPr>
    </w:p>
    <w:p w14:paraId="0CCFB68F" w14:textId="22600BD3" w:rsidR="009E70C3" w:rsidRDefault="00752BF3" w:rsidP="009E70C3">
      <w:pPr>
        <w:spacing w:after="0" w:line="240" w:lineRule="auto"/>
        <w:jc w:val="both"/>
        <w:rPr>
          <w:rFonts w:ascii="Calibri" w:hAnsi="Calibri" w:cs="Calibri"/>
          <w:sz w:val="24"/>
          <w:szCs w:val="24"/>
        </w:rPr>
      </w:pPr>
      <w:r w:rsidRPr="009E70C3">
        <w:rPr>
          <w:rFonts w:ascii="Calibri" w:hAnsi="Calibri" w:cs="Calibri"/>
          <w:b/>
          <w:sz w:val="24"/>
          <w:szCs w:val="24"/>
          <w:u w:val="single"/>
        </w:rPr>
        <w:t>ELIGIBILITY</w:t>
      </w:r>
      <w:r w:rsidR="00300F55" w:rsidRPr="009E70C3">
        <w:rPr>
          <w:rFonts w:ascii="Calibri" w:hAnsi="Calibri" w:cs="Calibri"/>
          <w:sz w:val="24"/>
          <w:szCs w:val="24"/>
        </w:rPr>
        <w:t xml:space="preserve">: </w:t>
      </w:r>
    </w:p>
    <w:p w14:paraId="3BA335D6" w14:textId="77777777" w:rsidR="009E70C3" w:rsidRPr="009E70C3" w:rsidRDefault="009E70C3" w:rsidP="009E70C3">
      <w:pPr>
        <w:spacing w:after="0" w:line="240" w:lineRule="auto"/>
        <w:jc w:val="both"/>
        <w:rPr>
          <w:rFonts w:ascii="Calibri" w:hAnsi="Calibri" w:cs="Calibri"/>
          <w:sz w:val="8"/>
          <w:szCs w:val="24"/>
        </w:rPr>
      </w:pPr>
    </w:p>
    <w:p w14:paraId="5748AC81" w14:textId="59125953" w:rsidR="00725686" w:rsidRDefault="006A688D" w:rsidP="009E70C3">
      <w:pPr>
        <w:spacing w:after="0" w:line="240" w:lineRule="auto"/>
        <w:jc w:val="both"/>
        <w:rPr>
          <w:rFonts w:ascii="Calibri" w:hAnsi="Calibri" w:cs="Calibri"/>
          <w:sz w:val="24"/>
          <w:szCs w:val="24"/>
        </w:rPr>
      </w:pPr>
      <w:r w:rsidRPr="009E70C3">
        <w:rPr>
          <w:rFonts w:ascii="Calibri" w:hAnsi="Calibri" w:cs="Calibri"/>
          <w:sz w:val="24"/>
          <w:szCs w:val="24"/>
        </w:rPr>
        <w:t xml:space="preserve">To maintain eligibility for the scholarship, </w:t>
      </w:r>
      <w:r w:rsidR="006D0835" w:rsidRPr="009E70C3">
        <w:rPr>
          <w:rFonts w:ascii="Calibri" w:hAnsi="Calibri" w:cs="Calibri"/>
          <w:sz w:val="24"/>
          <w:szCs w:val="24"/>
        </w:rPr>
        <w:t>s</w:t>
      </w:r>
      <w:r w:rsidR="00752BF3" w:rsidRPr="009E70C3">
        <w:rPr>
          <w:rFonts w:ascii="Calibri" w:hAnsi="Calibri" w:cs="Calibri"/>
          <w:sz w:val="24"/>
          <w:szCs w:val="24"/>
        </w:rPr>
        <w:t xml:space="preserve">tudents must </w:t>
      </w:r>
      <w:r w:rsidR="006313F6" w:rsidRPr="009E70C3">
        <w:rPr>
          <w:rFonts w:ascii="Calibri" w:hAnsi="Calibri" w:cs="Calibri"/>
          <w:sz w:val="24"/>
          <w:szCs w:val="24"/>
        </w:rPr>
        <w:t>maintain full</w:t>
      </w:r>
      <w:r w:rsidR="00B321CA" w:rsidRPr="009E70C3">
        <w:rPr>
          <w:rFonts w:ascii="Calibri" w:hAnsi="Calibri" w:cs="Calibri"/>
          <w:sz w:val="24"/>
          <w:szCs w:val="24"/>
        </w:rPr>
        <w:t>-</w:t>
      </w:r>
      <w:r w:rsidR="006313F6" w:rsidRPr="009E70C3">
        <w:rPr>
          <w:rFonts w:ascii="Calibri" w:hAnsi="Calibri" w:cs="Calibri"/>
          <w:sz w:val="24"/>
          <w:szCs w:val="24"/>
        </w:rPr>
        <w:t xml:space="preserve">time status </w:t>
      </w:r>
      <w:r w:rsidR="00344254" w:rsidRPr="009E70C3">
        <w:rPr>
          <w:rFonts w:ascii="Calibri" w:hAnsi="Calibri" w:cs="Calibri"/>
          <w:sz w:val="24"/>
          <w:szCs w:val="24"/>
        </w:rPr>
        <w:t xml:space="preserve">with a minimum </w:t>
      </w:r>
      <w:r w:rsidRPr="009E70C3">
        <w:rPr>
          <w:rFonts w:ascii="Calibri" w:hAnsi="Calibri" w:cs="Calibri"/>
          <w:sz w:val="24"/>
          <w:szCs w:val="24"/>
        </w:rPr>
        <w:t xml:space="preserve">of </w:t>
      </w:r>
      <w:r w:rsidR="00344254" w:rsidRPr="009E70C3">
        <w:rPr>
          <w:rFonts w:ascii="Calibri" w:hAnsi="Calibri" w:cs="Calibri"/>
          <w:sz w:val="24"/>
          <w:szCs w:val="24"/>
        </w:rPr>
        <w:t xml:space="preserve">9 credit hours </w:t>
      </w:r>
      <w:r w:rsidR="006313F6" w:rsidRPr="009E70C3">
        <w:rPr>
          <w:rFonts w:ascii="Calibri" w:hAnsi="Calibri" w:cs="Calibri"/>
          <w:sz w:val="24"/>
          <w:szCs w:val="24"/>
        </w:rPr>
        <w:t xml:space="preserve">in the Fall and Spring semesters. </w:t>
      </w:r>
      <w:r w:rsidR="00FA721E">
        <w:rPr>
          <w:rFonts w:ascii="Calibri" w:hAnsi="Calibri" w:cs="Calibri"/>
          <w:sz w:val="24"/>
          <w:szCs w:val="24"/>
        </w:rPr>
        <w:t>Any</w:t>
      </w:r>
      <w:r w:rsidR="00A3208F" w:rsidRPr="009E70C3">
        <w:rPr>
          <w:rFonts w:ascii="Calibri" w:hAnsi="Calibri" w:cs="Calibri"/>
          <w:sz w:val="24"/>
          <w:szCs w:val="24"/>
        </w:rPr>
        <w:t xml:space="preserve"> student</w:t>
      </w:r>
      <w:r w:rsidR="00FA721E">
        <w:rPr>
          <w:rFonts w:ascii="Calibri" w:hAnsi="Calibri" w:cs="Calibri"/>
          <w:sz w:val="24"/>
          <w:szCs w:val="24"/>
        </w:rPr>
        <w:t xml:space="preserve"> who</w:t>
      </w:r>
      <w:r w:rsidR="00A3208F" w:rsidRPr="009E70C3">
        <w:rPr>
          <w:rFonts w:ascii="Calibri" w:hAnsi="Calibri" w:cs="Calibri"/>
          <w:sz w:val="24"/>
          <w:szCs w:val="24"/>
        </w:rPr>
        <w:t xml:space="preserve"> drops below </w:t>
      </w:r>
      <w:r w:rsidR="003523B8" w:rsidRPr="009E70C3">
        <w:rPr>
          <w:rFonts w:ascii="Calibri" w:hAnsi="Calibri" w:cs="Calibri"/>
          <w:sz w:val="24"/>
          <w:szCs w:val="24"/>
        </w:rPr>
        <w:t>full-time</w:t>
      </w:r>
      <w:r w:rsidR="00A3208F" w:rsidRPr="009E70C3">
        <w:rPr>
          <w:rFonts w:ascii="Calibri" w:hAnsi="Calibri" w:cs="Calibri"/>
          <w:sz w:val="24"/>
          <w:szCs w:val="24"/>
        </w:rPr>
        <w:t xml:space="preserve"> status</w:t>
      </w:r>
      <w:r w:rsidR="00FD0E19" w:rsidRPr="009E70C3">
        <w:rPr>
          <w:rFonts w:ascii="Calibri" w:hAnsi="Calibri" w:cs="Calibri"/>
          <w:sz w:val="24"/>
          <w:szCs w:val="24"/>
        </w:rPr>
        <w:t xml:space="preserve"> will lose the scholarship for the next semester. Students must also maintain satisfactory progress on their degree plan</w:t>
      </w:r>
      <w:r w:rsidR="00B321CA" w:rsidRPr="009E70C3">
        <w:rPr>
          <w:rFonts w:ascii="Calibri" w:hAnsi="Calibri" w:cs="Calibri"/>
          <w:sz w:val="24"/>
          <w:szCs w:val="24"/>
        </w:rPr>
        <w:t>s</w:t>
      </w:r>
      <w:r w:rsidR="00FD0E19" w:rsidRPr="009E70C3">
        <w:rPr>
          <w:rFonts w:ascii="Calibri" w:hAnsi="Calibri" w:cs="Calibri"/>
          <w:sz w:val="24"/>
          <w:szCs w:val="24"/>
        </w:rPr>
        <w:t xml:space="preserve"> and remain in good </w:t>
      </w:r>
      <w:r w:rsidR="00B321CA" w:rsidRPr="009E70C3">
        <w:rPr>
          <w:rFonts w:ascii="Calibri" w:hAnsi="Calibri" w:cs="Calibri"/>
          <w:sz w:val="24"/>
          <w:szCs w:val="24"/>
        </w:rPr>
        <w:t xml:space="preserve">academic </w:t>
      </w:r>
      <w:r w:rsidR="00FD0E19" w:rsidRPr="009E70C3">
        <w:rPr>
          <w:rFonts w:ascii="Calibri" w:hAnsi="Calibri" w:cs="Calibri"/>
          <w:sz w:val="24"/>
          <w:szCs w:val="24"/>
        </w:rPr>
        <w:t xml:space="preserve">standing. </w:t>
      </w:r>
      <w:r w:rsidR="00FA721E">
        <w:rPr>
          <w:rFonts w:ascii="Calibri" w:hAnsi="Calibri" w:cs="Calibri"/>
          <w:sz w:val="24"/>
          <w:szCs w:val="24"/>
        </w:rPr>
        <w:t>Any</w:t>
      </w:r>
      <w:r w:rsidR="00FD0E19" w:rsidRPr="009E70C3">
        <w:rPr>
          <w:rFonts w:ascii="Calibri" w:hAnsi="Calibri" w:cs="Calibri"/>
          <w:sz w:val="24"/>
          <w:szCs w:val="24"/>
        </w:rPr>
        <w:t xml:space="preserve"> student</w:t>
      </w:r>
      <w:r w:rsidR="00FA721E">
        <w:rPr>
          <w:rFonts w:ascii="Calibri" w:hAnsi="Calibri" w:cs="Calibri"/>
          <w:sz w:val="24"/>
          <w:szCs w:val="24"/>
        </w:rPr>
        <w:t xml:space="preserve"> who</w:t>
      </w:r>
      <w:r w:rsidR="00FD0E19" w:rsidRPr="009E70C3">
        <w:rPr>
          <w:rFonts w:ascii="Calibri" w:hAnsi="Calibri" w:cs="Calibri"/>
          <w:sz w:val="24"/>
          <w:szCs w:val="24"/>
        </w:rPr>
        <w:t xml:space="preserve"> </w:t>
      </w:r>
      <w:r w:rsidR="008E1AE8" w:rsidRPr="009E70C3">
        <w:rPr>
          <w:rFonts w:ascii="Calibri" w:hAnsi="Calibri" w:cs="Calibri"/>
          <w:sz w:val="24"/>
          <w:szCs w:val="24"/>
        </w:rPr>
        <w:t xml:space="preserve">drops below a 3.0 GPA in one semester </w:t>
      </w:r>
      <w:r w:rsidR="00FD0E19" w:rsidRPr="009E70C3">
        <w:rPr>
          <w:rFonts w:ascii="Calibri" w:hAnsi="Calibri" w:cs="Calibri"/>
          <w:sz w:val="24"/>
          <w:szCs w:val="24"/>
        </w:rPr>
        <w:t xml:space="preserve">will lose the scholarship for the next semester. </w:t>
      </w:r>
      <w:r w:rsidR="00725686" w:rsidRPr="009E70C3">
        <w:rPr>
          <w:rFonts w:ascii="Calibri" w:hAnsi="Calibri" w:cs="Calibri"/>
          <w:sz w:val="24"/>
          <w:szCs w:val="24"/>
        </w:rPr>
        <w:t>Previous Presidential Scholar recipients are eligible to reapply.</w:t>
      </w:r>
    </w:p>
    <w:p w14:paraId="01B320C5" w14:textId="77777777" w:rsidR="009E70C3" w:rsidRPr="009E70C3" w:rsidRDefault="009E70C3" w:rsidP="009E70C3">
      <w:pPr>
        <w:spacing w:after="0" w:line="240" w:lineRule="auto"/>
        <w:jc w:val="both"/>
        <w:rPr>
          <w:rFonts w:ascii="Calibri" w:hAnsi="Calibri" w:cs="Calibri"/>
          <w:sz w:val="20"/>
          <w:szCs w:val="24"/>
        </w:rPr>
      </w:pPr>
    </w:p>
    <w:p w14:paraId="77926E8E" w14:textId="2FF9B971" w:rsidR="00B62542" w:rsidRPr="009E70C3" w:rsidRDefault="00B62542" w:rsidP="009E70C3">
      <w:pPr>
        <w:spacing w:after="0" w:line="240" w:lineRule="auto"/>
        <w:jc w:val="both"/>
        <w:rPr>
          <w:rFonts w:ascii="Calibri" w:hAnsi="Calibri" w:cs="Calibri"/>
          <w:sz w:val="24"/>
          <w:szCs w:val="24"/>
        </w:rPr>
      </w:pPr>
      <w:r w:rsidRPr="009E70C3">
        <w:rPr>
          <w:rFonts w:ascii="Calibri" w:hAnsi="Calibri" w:cs="Calibri"/>
          <w:sz w:val="24"/>
          <w:szCs w:val="24"/>
        </w:rPr>
        <w:t>State law requires that each student identif</w:t>
      </w:r>
      <w:r w:rsidR="00FA721E">
        <w:rPr>
          <w:rFonts w:ascii="Calibri" w:hAnsi="Calibri" w:cs="Calibri"/>
          <w:sz w:val="24"/>
          <w:szCs w:val="24"/>
        </w:rPr>
        <w:t>ies</w:t>
      </w:r>
      <w:r w:rsidRPr="009E70C3">
        <w:rPr>
          <w:rFonts w:ascii="Calibri" w:hAnsi="Calibri" w:cs="Calibri"/>
          <w:sz w:val="24"/>
          <w:szCs w:val="24"/>
        </w:rPr>
        <w:t xml:space="preserve"> any </w:t>
      </w:r>
      <w:r w:rsidR="00FA721E">
        <w:rPr>
          <w:rFonts w:ascii="Calibri" w:hAnsi="Calibri" w:cs="Calibri"/>
          <w:sz w:val="24"/>
          <w:szCs w:val="24"/>
        </w:rPr>
        <w:t xml:space="preserve">familial </w:t>
      </w:r>
      <w:r w:rsidRPr="009E70C3">
        <w:rPr>
          <w:rFonts w:ascii="Calibri" w:hAnsi="Calibri" w:cs="Calibri"/>
          <w:sz w:val="24"/>
          <w:szCs w:val="24"/>
        </w:rPr>
        <w:t xml:space="preserve">relation to a current </w:t>
      </w:r>
      <w:r w:rsidR="00AC2AEC" w:rsidRPr="009E70C3">
        <w:rPr>
          <w:rFonts w:ascii="Calibri" w:hAnsi="Calibri" w:cs="Calibri"/>
          <w:sz w:val="24"/>
          <w:szCs w:val="24"/>
        </w:rPr>
        <w:t xml:space="preserve">member of the </w:t>
      </w:r>
      <w:r w:rsidRPr="009E70C3">
        <w:rPr>
          <w:rFonts w:ascii="Calibri" w:hAnsi="Calibri" w:cs="Calibri"/>
          <w:sz w:val="24"/>
          <w:szCs w:val="24"/>
        </w:rPr>
        <w:t>Board of Regent</w:t>
      </w:r>
      <w:r w:rsidR="00AC2AEC" w:rsidRPr="009E70C3">
        <w:rPr>
          <w:rFonts w:ascii="Calibri" w:hAnsi="Calibri" w:cs="Calibri"/>
          <w:sz w:val="24"/>
          <w:szCs w:val="24"/>
        </w:rPr>
        <w:t>s</w:t>
      </w:r>
      <w:r w:rsidRPr="009E70C3">
        <w:rPr>
          <w:rFonts w:ascii="Calibri" w:hAnsi="Calibri" w:cs="Calibri"/>
          <w:sz w:val="24"/>
          <w:szCs w:val="24"/>
        </w:rPr>
        <w:t xml:space="preserve">.  A student who is related to a current member of the governing board of that institution is prohibited from receiving scholarships unless the scholarship is awarded exclusively based on academic merit or is an athletic scholarship.  It is a Class B misdemeanor to file a false statement.  Please review a list of current Texas Board of Regent members at </w:t>
      </w:r>
      <w:hyperlink r:id="rId9" w:history="1">
        <w:r w:rsidR="009E70C3" w:rsidRPr="000A148A">
          <w:rPr>
            <w:rStyle w:val="Hyperlink"/>
            <w:rFonts w:ascii="Calibri" w:hAnsi="Calibri" w:cs="Calibri"/>
            <w:sz w:val="24"/>
            <w:szCs w:val="24"/>
          </w:rPr>
          <w:t>http://www.texastech.edu/bor/</w:t>
        </w:r>
      </w:hyperlink>
      <w:r w:rsidR="009E70C3">
        <w:rPr>
          <w:rFonts w:ascii="Calibri" w:hAnsi="Calibri" w:cs="Calibri"/>
          <w:sz w:val="24"/>
          <w:szCs w:val="24"/>
        </w:rPr>
        <w:t xml:space="preserve"> </w:t>
      </w:r>
      <w:r w:rsidRPr="009E70C3">
        <w:rPr>
          <w:rFonts w:ascii="Calibri" w:hAnsi="Calibri" w:cs="Calibri"/>
          <w:sz w:val="24"/>
          <w:szCs w:val="24"/>
        </w:rPr>
        <w:t xml:space="preserve">and then select the most appropriate answer below indicating your relation to any </w:t>
      </w:r>
      <w:r w:rsidR="00AC2AEC" w:rsidRPr="009E70C3">
        <w:rPr>
          <w:rFonts w:ascii="Calibri" w:hAnsi="Calibri" w:cs="Calibri"/>
          <w:sz w:val="24"/>
          <w:szCs w:val="24"/>
        </w:rPr>
        <w:t xml:space="preserve">members </w:t>
      </w:r>
      <w:r w:rsidRPr="009E70C3">
        <w:rPr>
          <w:rFonts w:ascii="Calibri" w:hAnsi="Calibri" w:cs="Calibri"/>
          <w:sz w:val="24"/>
          <w:szCs w:val="24"/>
        </w:rPr>
        <w:t>of the Board of Regent</w:t>
      </w:r>
      <w:r w:rsidR="00AC2AEC" w:rsidRPr="009E70C3">
        <w:rPr>
          <w:rFonts w:ascii="Calibri" w:hAnsi="Calibri" w:cs="Calibri"/>
          <w:sz w:val="24"/>
          <w:szCs w:val="24"/>
        </w:rPr>
        <w:t>s</w:t>
      </w:r>
      <w:r w:rsidRPr="009E70C3">
        <w:rPr>
          <w:rFonts w:ascii="Calibri" w:hAnsi="Calibri" w:cs="Calibri"/>
          <w:sz w:val="24"/>
          <w:szCs w:val="24"/>
        </w:rPr>
        <w:t>.</w:t>
      </w:r>
    </w:p>
    <w:p w14:paraId="32B8D364" w14:textId="77777777" w:rsidR="00B62542" w:rsidRPr="00486FA1" w:rsidRDefault="00B62542" w:rsidP="009E70C3">
      <w:pPr>
        <w:spacing w:after="0" w:line="240" w:lineRule="auto"/>
        <w:jc w:val="both"/>
        <w:rPr>
          <w:rFonts w:ascii="Calibri" w:hAnsi="Calibri" w:cs="Calibri"/>
          <w:sz w:val="20"/>
          <w:szCs w:val="24"/>
        </w:rPr>
      </w:pPr>
    </w:p>
    <w:p w14:paraId="09D383B5" w14:textId="77777777" w:rsidR="009E70C3" w:rsidRDefault="00B62542" w:rsidP="009E70C3">
      <w:pPr>
        <w:spacing w:after="0" w:line="240" w:lineRule="auto"/>
        <w:jc w:val="both"/>
        <w:rPr>
          <w:rFonts w:ascii="Calibri" w:hAnsi="Calibri" w:cs="Calibri"/>
          <w:sz w:val="24"/>
          <w:szCs w:val="24"/>
        </w:rPr>
      </w:pPr>
      <w:r w:rsidRPr="009E70C3">
        <w:rPr>
          <w:rFonts w:ascii="Calibri" w:hAnsi="Calibri" w:cs="Calibri"/>
          <w:b/>
          <w:sz w:val="24"/>
          <w:szCs w:val="24"/>
          <w:u w:val="single"/>
        </w:rPr>
        <w:t>CONSIDERATIONS</w:t>
      </w:r>
      <w:r w:rsidRPr="009E70C3">
        <w:rPr>
          <w:rFonts w:ascii="Calibri" w:hAnsi="Calibri" w:cs="Calibri"/>
          <w:sz w:val="24"/>
          <w:szCs w:val="24"/>
        </w:rPr>
        <w:t xml:space="preserve">: </w:t>
      </w:r>
    </w:p>
    <w:p w14:paraId="7E99A03D" w14:textId="77777777" w:rsidR="009E70C3" w:rsidRPr="009E70C3" w:rsidRDefault="009E70C3" w:rsidP="009E70C3">
      <w:pPr>
        <w:spacing w:after="0" w:line="240" w:lineRule="auto"/>
        <w:jc w:val="both"/>
        <w:rPr>
          <w:rFonts w:ascii="Calibri" w:hAnsi="Calibri" w:cs="Calibri"/>
          <w:sz w:val="10"/>
          <w:szCs w:val="24"/>
        </w:rPr>
      </w:pPr>
    </w:p>
    <w:p w14:paraId="1C2AC22D" w14:textId="517CC519" w:rsidR="00486FA1" w:rsidRPr="009E70C3" w:rsidRDefault="00C31571" w:rsidP="00486FA1">
      <w:pPr>
        <w:spacing w:after="0" w:line="240" w:lineRule="auto"/>
        <w:jc w:val="both"/>
        <w:rPr>
          <w:rFonts w:ascii="Calibri" w:eastAsia="Times New Roman" w:hAnsi="Calibri" w:cs="Calibri"/>
          <w:sz w:val="24"/>
          <w:szCs w:val="24"/>
        </w:rPr>
      </w:pPr>
      <w:r w:rsidRPr="009E70C3">
        <w:rPr>
          <w:rFonts w:ascii="Calibri" w:hAnsi="Calibri" w:cs="Calibri"/>
          <w:sz w:val="24"/>
          <w:szCs w:val="24"/>
        </w:rPr>
        <w:t xml:space="preserve">The SPPH has identified five Student Priority </w:t>
      </w:r>
      <w:r w:rsidR="00197C03" w:rsidRPr="009E70C3">
        <w:rPr>
          <w:rFonts w:ascii="Calibri" w:hAnsi="Calibri" w:cs="Calibri"/>
          <w:sz w:val="24"/>
          <w:szCs w:val="24"/>
        </w:rPr>
        <w:t>Populations (subject to change over time)</w:t>
      </w:r>
      <w:r w:rsidRPr="009E70C3">
        <w:rPr>
          <w:rFonts w:ascii="Calibri" w:hAnsi="Calibri" w:cs="Calibri"/>
          <w:sz w:val="24"/>
          <w:szCs w:val="24"/>
        </w:rPr>
        <w:t xml:space="preserve"> as detailed</w:t>
      </w:r>
      <w:r w:rsidR="00197C03" w:rsidRPr="009E70C3">
        <w:rPr>
          <w:rFonts w:ascii="Calibri" w:hAnsi="Calibri" w:cs="Calibri"/>
          <w:sz w:val="24"/>
          <w:szCs w:val="24"/>
        </w:rPr>
        <w:t xml:space="preserve"> and described</w:t>
      </w:r>
      <w:r w:rsidRPr="009E70C3">
        <w:rPr>
          <w:rFonts w:ascii="Calibri" w:hAnsi="Calibri" w:cs="Calibri"/>
          <w:sz w:val="24"/>
          <w:szCs w:val="24"/>
        </w:rPr>
        <w:t xml:space="preserve"> in</w:t>
      </w:r>
      <w:r w:rsidR="00197C03" w:rsidRPr="009E70C3">
        <w:rPr>
          <w:rFonts w:ascii="Calibri" w:hAnsi="Calibri" w:cs="Calibri"/>
          <w:sz w:val="24"/>
          <w:szCs w:val="24"/>
        </w:rPr>
        <w:t xml:space="preserve"> our Council on Education for Public Health 2023 Self-Study </w:t>
      </w:r>
      <w:r w:rsidR="00486FA1">
        <w:rPr>
          <w:rFonts w:ascii="Calibri" w:hAnsi="Calibri" w:cs="Calibri"/>
          <w:sz w:val="24"/>
          <w:szCs w:val="24"/>
        </w:rPr>
        <w:t xml:space="preserve">Report </w:t>
      </w:r>
      <w:r w:rsidR="00197C03" w:rsidRPr="009E70C3">
        <w:rPr>
          <w:rFonts w:ascii="Calibri" w:hAnsi="Calibri" w:cs="Calibri"/>
          <w:sz w:val="24"/>
          <w:szCs w:val="24"/>
        </w:rPr>
        <w:t>for accreditation</w:t>
      </w:r>
      <w:r w:rsidR="00486FA1">
        <w:rPr>
          <w:rFonts w:ascii="Calibri" w:hAnsi="Calibri" w:cs="Calibri"/>
          <w:sz w:val="24"/>
          <w:szCs w:val="24"/>
        </w:rPr>
        <w:t>. To access the report, visit:</w:t>
      </w:r>
      <w:r w:rsidR="00DC65FB">
        <w:rPr>
          <w:rFonts w:ascii="Calibri" w:hAnsi="Calibri" w:cs="Calibri"/>
          <w:sz w:val="24"/>
          <w:szCs w:val="24"/>
        </w:rPr>
        <w:t xml:space="preserve"> </w:t>
      </w:r>
      <w:hyperlink r:id="rId10" w:history="1">
        <w:r w:rsidR="00DC65FB" w:rsidRPr="00D87A43">
          <w:rPr>
            <w:rStyle w:val="Hyperlink"/>
            <w:rFonts w:ascii="Calibri" w:hAnsi="Calibri" w:cs="Calibri"/>
            <w:sz w:val="24"/>
            <w:szCs w:val="24"/>
          </w:rPr>
          <w:t>https://www.ttuhsc.edu/population-public-health/documents/ceph/TTUHSCSelfStudy2023.pdf</w:t>
        </w:r>
      </w:hyperlink>
      <w:r w:rsidR="00DC65FB">
        <w:rPr>
          <w:rFonts w:ascii="Calibri" w:hAnsi="Calibri" w:cs="Calibri"/>
          <w:sz w:val="24"/>
          <w:szCs w:val="24"/>
        </w:rPr>
        <w:t xml:space="preserve">. </w:t>
      </w:r>
      <w:r w:rsidR="00486FA1">
        <w:rPr>
          <w:rFonts w:ascii="Calibri" w:eastAsia="Times New Roman" w:hAnsi="Calibri" w:cs="Calibri"/>
          <w:sz w:val="24"/>
          <w:szCs w:val="24"/>
        </w:rPr>
        <w:t xml:space="preserve">For descriptions on the priority populations, please refer to </w:t>
      </w:r>
      <w:r w:rsidR="00486FA1" w:rsidRPr="00486FA1">
        <w:rPr>
          <w:rFonts w:ascii="Calibri" w:eastAsia="Times New Roman" w:hAnsi="Calibri" w:cs="Calibri"/>
          <w:i/>
          <w:sz w:val="24"/>
          <w:szCs w:val="24"/>
        </w:rPr>
        <w:t>Appendix A</w:t>
      </w:r>
      <w:r w:rsidR="00486FA1">
        <w:rPr>
          <w:rFonts w:ascii="Calibri" w:eastAsia="Times New Roman" w:hAnsi="Calibri" w:cs="Calibri"/>
          <w:sz w:val="24"/>
          <w:szCs w:val="24"/>
        </w:rPr>
        <w:t xml:space="preserve"> in this document. </w:t>
      </w:r>
    </w:p>
    <w:p w14:paraId="2FE1B6E5" w14:textId="01324B5B" w:rsidR="00486FA1" w:rsidRPr="00486FA1" w:rsidRDefault="00486FA1" w:rsidP="009E70C3">
      <w:pPr>
        <w:spacing w:after="0" w:line="240" w:lineRule="auto"/>
        <w:jc w:val="both"/>
        <w:rPr>
          <w:rFonts w:ascii="Calibri" w:eastAsia="Times New Roman" w:hAnsi="Calibri" w:cs="Calibri"/>
          <w:sz w:val="12"/>
          <w:szCs w:val="24"/>
        </w:rPr>
      </w:pPr>
    </w:p>
    <w:p w14:paraId="2EC7F6FD" w14:textId="78CDBDDF" w:rsidR="00914F44" w:rsidRPr="009E70C3" w:rsidRDefault="00914F44" w:rsidP="009E70C3">
      <w:pPr>
        <w:numPr>
          <w:ilvl w:val="0"/>
          <w:numId w:val="5"/>
        </w:numPr>
        <w:spacing w:after="0" w:line="240" w:lineRule="auto"/>
        <w:jc w:val="both"/>
        <w:rPr>
          <w:rFonts w:ascii="Calibri" w:eastAsia="Times New Roman" w:hAnsi="Calibri" w:cs="Calibri"/>
          <w:sz w:val="24"/>
          <w:szCs w:val="24"/>
        </w:rPr>
      </w:pPr>
      <w:r w:rsidRPr="009E70C3">
        <w:rPr>
          <w:rFonts w:ascii="Calibri" w:eastAsia="Times New Roman" w:hAnsi="Calibri" w:cs="Calibri"/>
          <w:sz w:val="24"/>
          <w:szCs w:val="24"/>
        </w:rPr>
        <w:t>Multilingual Speakers</w:t>
      </w:r>
    </w:p>
    <w:p w14:paraId="485B20A0" w14:textId="77777777" w:rsidR="00914F44" w:rsidRPr="009E70C3" w:rsidRDefault="00914F44" w:rsidP="009E70C3">
      <w:pPr>
        <w:numPr>
          <w:ilvl w:val="0"/>
          <w:numId w:val="5"/>
        </w:numPr>
        <w:spacing w:after="0" w:line="240" w:lineRule="auto"/>
        <w:jc w:val="both"/>
        <w:rPr>
          <w:rFonts w:ascii="Calibri" w:eastAsia="Times New Roman" w:hAnsi="Calibri" w:cs="Calibri"/>
          <w:sz w:val="24"/>
          <w:szCs w:val="24"/>
        </w:rPr>
      </w:pPr>
      <w:r w:rsidRPr="009E70C3">
        <w:rPr>
          <w:rFonts w:ascii="Calibri" w:eastAsia="Times New Roman" w:hAnsi="Calibri" w:cs="Calibri"/>
          <w:sz w:val="24"/>
          <w:szCs w:val="24"/>
        </w:rPr>
        <w:t>West Texas Residents</w:t>
      </w:r>
    </w:p>
    <w:p w14:paraId="6AFF765C" w14:textId="77777777" w:rsidR="00914F44" w:rsidRPr="009E70C3" w:rsidRDefault="00914F44" w:rsidP="009E70C3">
      <w:pPr>
        <w:numPr>
          <w:ilvl w:val="0"/>
          <w:numId w:val="5"/>
        </w:numPr>
        <w:spacing w:after="0" w:line="240" w:lineRule="auto"/>
        <w:jc w:val="both"/>
        <w:rPr>
          <w:rFonts w:ascii="Calibri" w:eastAsia="Times New Roman" w:hAnsi="Calibri" w:cs="Calibri"/>
          <w:sz w:val="24"/>
          <w:szCs w:val="24"/>
        </w:rPr>
      </w:pPr>
      <w:r w:rsidRPr="009E70C3">
        <w:rPr>
          <w:rFonts w:ascii="Calibri" w:eastAsia="Times New Roman" w:hAnsi="Calibri" w:cs="Calibri"/>
          <w:sz w:val="24"/>
          <w:szCs w:val="24"/>
        </w:rPr>
        <w:t>First Generation College Graduates</w:t>
      </w:r>
    </w:p>
    <w:p w14:paraId="121A3176" w14:textId="77777777" w:rsidR="00914F44" w:rsidRPr="009E70C3" w:rsidRDefault="00914F44" w:rsidP="009E70C3">
      <w:pPr>
        <w:numPr>
          <w:ilvl w:val="0"/>
          <w:numId w:val="5"/>
        </w:numPr>
        <w:spacing w:after="0" w:line="240" w:lineRule="auto"/>
        <w:jc w:val="both"/>
        <w:rPr>
          <w:rFonts w:ascii="Calibri" w:eastAsia="Times New Roman" w:hAnsi="Calibri" w:cs="Calibri"/>
          <w:sz w:val="24"/>
          <w:szCs w:val="24"/>
        </w:rPr>
      </w:pPr>
      <w:r w:rsidRPr="009E70C3">
        <w:rPr>
          <w:rFonts w:ascii="Calibri" w:eastAsia="Times New Roman" w:hAnsi="Calibri" w:cs="Calibri"/>
          <w:sz w:val="24"/>
          <w:szCs w:val="24"/>
        </w:rPr>
        <w:t>TTUHSC Clinical Students</w:t>
      </w:r>
    </w:p>
    <w:p w14:paraId="11E83DA8" w14:textId="3F3B083F" w:rsidR="00914F44" w:rsidRPr="009E70C3" w:rsidRDefault="00914F44" w:rsidP="009E70C3">
      <w:pPr>
        <w:numPr>
          <w:ilvl w:val="0"/>
          <w:numId w:val="5"/>
        </w:numPr>
        <w:spacing w:after="0" w:line="240" w:lineRule="auto"/>
        <w:jc w:val="both"/>
        <w:rPr>
          <w:rFonts w:ascii="Calibri" w:eastAsia="Times New Roman" w:hAnsi="Calibri" w:cs="Calibri"/>
          <w:sz w:val="24"/>
          <w:szCs w:val="24"/>
        </w:rPr>
      </w:pPr>
      <w:r w:rsidRPr="009E70C3">
        <w:rPr>
          <w:rFonts w:ascii="Calibri" w:eastAsia="Times New Roman" w:hAnsi="Calibri" w:cs="Calibri"/>
          <w:sz w:val="24"/>
          <w:szCs w:val="24"/>
        </w:rPr>
        <w:t>Public Health Workers</w:t>
      </w:r>
    </w:p>
    <w:p w14:paraId="1B623847" w14:textId="77777777" w:rsidR="00486FA1" w:rsidRPr="00486FA1" w:rsidRDefault="00486FA1" w:rsidP="009E70C3">
      <w:pPr>
        <w:spacing w:after="0" w:line="240" w:lineRule="auto"/>
        <w:jc w:val="both"/>
        <w:rPr>
          <w:rFonts w:ascii="Calibri" w:eastAsia="Times New Roman" w:hAnsi="Calibri" w:cs="Calibri"/>
          <w:sz w:val="14"/>
          <w:szCs w:val="24"/>
        </w:rPr>
      </w:pPr>
    </w:p>
    <w:p w14:paraId="56B83E6A" w14:textId="6DFD75D6" w:rsidR="003521A7" w:rsidRDefault="003521A7" w:rsidP="009E70C3">
      <w:pPr>
        <w:spacing w:after="0" w:line="240" w:lineRule="auto"/>
        <w:jc w:val="both"/>
        <w:rPr>
          <w:rFonts w:ascii="Calibri" w:eastAsia="Times New Roman" w:hAnsi="Calibri" w:cs="Calibri"/>
          <w:sz w:val="24"/>
          <w:szCs w:val="24"/>
        </w:rPr>
      </w:pPr>
      <w:r w:rsidRPr="009E70C3">
        <w:rPr>
          <w:rFonts w:ascii="Calibri" w:eastAsia="Times New Roman" w:hAnsi="Calibri" w:cs="Calibri"/>
          <w:sz w:val="24"/>
          <w:szCs w:val="24"/>
        </w:rPr>
        <w:t xml:space="preserve">Applicants are </w:t>
      </w:r>
      <w:r w:rsidR="00AF744E" w:rsidRPr="009E70C3">
        <w:rPr>
          <w:rFonts w:ascii="Calibri" w:eastAsia="Times New Roman" w:hAnsi="Calibri" w:cs="Calibri"/>
          <w:sz w:val="24"/>
          <w:szCs w:val="24"/>
        </w:rPr>
        <w:t xml:space="preserve">strongly </w:t>
      </w:r>
      <w:r w:rsidRPr="009E70C3">
        <w:rPr>
          <w:rFonts w:ascii="Calibri" w:eastAsia="Times New Roman" w:hAnsi="Calibri" w:cs="Calibri"/>
          <w:sz w:val="24"/>
          <w:szCs w:val="24"/>
        </w:rPr>
        <w:t>encouraged to highlight details related to the above criteria in their application</w:t>
      </w:r>
      <w:r w:rsidR="00AC2AEC" w:rsidRPr="009E70C3">
        <w:rPr>
          <w:rFonts w:ascii="Calibri" w:eastAsia="Times New Roman" w:hAnsi="Calibri" w:cs="Calibri"/>
          <w:sz w:val="24"/>
          <w:szCs w:val="24"/>
        </w:rPr>
        <w:t>s</w:t>
      </w:r>
      <w:r w:rsidRPr="009E70C3">
        <w:rPr>
          <w:rFonts w:ascii="Calibri" w:eastAsia="Times New Roman" w:hAnsi="Calibri" w:cs="Calibri"/>
          <w:sz w:val="24"/>
          <w:szCs w:val="24"/>
        </w:rPr>
        <w:t xml:space="preserve">. </w:t>
      </w:r>
      <w:r w:rsidR="00AF34D9" w:rsidRPr="009E70C3">
        <w:rPr>
          <w:rFonts w:ascii="Calibri" w:eastAsia="Times New Roman" w:hAnsi="Calibri" w:cs="Calibri"/>
          <w:sz w:val="24"/>
          <w:szCs w:val="24"/>
        </w:rPr>
        <w:t>Student applicants</w:t>
      </w:r>
      <w:r w:rsidR="0053361F" w:rsidRPr="009E70C3">
        <w:rPr>
          <w:rFonts w:ascii="Calibri" w:eastAsia="Times New Roman" w:hAnsi="Calibri" w:cs="Calibri"/>
          <w:sz w:val="24"/>
          <w:szCs w:val="24"/>
        </w:rPr>
        <w:t xml:space="preserve"> will be evaluated holistically with all qualifications</w:t>
      </w:r>
      <w:r w:rsidR="00AF744E" w:rsidRPr="009E70C3">
        <w:rPr>
          <w:rFonts w:ascii="Calibri" w:eastAsia="Times New Roman" w:hAnsi="Calibri" w:cs="Calibri"/>
          <w:sz w:val="24"/>
          <w:szCs w:val="24"/>
        </w:rPr>
        <w:t xml:space="preserve"> and institutional priorities</w:t>
      </w:r>
      <w:r w:rsidR="0053361F" w:rsidRPr="009E70C3">
        <w:rPr>
          <w:rFonts w:ascii="Calibri" w:eastAsia="Times New Roman" w:hAnsi="Calibri" w:cs="Calibri"/>
          <w:sz w:val="24"/>
          <w:szCs w:val="24"/>
        </w:rPr>
        <w:t xml:space="preserve"> </w:t>
      </w:r>
      <w:r w:rsidR="006D5DAF" w:rsidRPr="009E70C3">
        <w:rPr>
          <w:rFonts w:ascii="Calibri" w:eastAsia="Times New Roman" w:hAnsi="Calibri" w:cs="Calibri"/>
          <w:sz w:val="24"/>
          <w:szCs w:val="24"/>
        </w:rPr>
        <w:t>considered</w:t>
      </w:r>
      <w:r w:rsidR="0053361F" w:rsidRPr="009E70C3">
        <w:rPr>
          <w:rFonts w:ascii="Calibri" w:eastAsia="Times New Roman" w:hAnsi="Calibri" w:cs="Calibri"/>
          <w:sz w:val="24"/>
          <w:szCs w:val="24"/>
        </w:rPr>
        <w:t>.</w:t>
      </w:r>
    </w:p>
    <w:p w14:paraId="38477554" w14:textId="2A04C183" w:rsidR="00486FA1" w:rsidRDefault="00486FA1" w:rsidP="009E70C3">
      <w:pPr>
        <w:spacing w:after="0" w:line="240" w:lineRule="auto"/>
        <w:jc w:val="both"/>
        <w:rPr>
          <w:rFonts w:ascii="Calibri" w:eastAsia="Times New Roman" w:hAnsi="Calibri" w:cs="Calibri"/>
          <w:sz w:val="24"/>
          <w:szCs w:val="24"/>
        </w:rPr>
      </w:pPr>
    </w:p>
    <w:p w14:paraId="13808FBD" w14:textId="68235C8F" w:rsidR="00D65EF3" w:rsidRDefault="00D65EF3" w:rsidP="009E70C3">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For the </w:t>
      </w:r>
      <w:r w:rsidR="00006A56">
        <w:rPr>
          <w:rFonts w:ascii="Calibri" w:eastAsia="Times New Roman" w:hAnsi="Calibri" w:cs="Calibri"/>
          <w:sz w:val="24"/>
          <w:szCs w:val="24"/>
        </w:rPr>
        <w:t>application evaluation criteria, please refer to Appendix B.</w:t>
      </w:r>
    </w:p>
    <w:p w14:paraId="5B338FD4" w14:textId="64219034" w:rsidR="00006A56" w:rsidRDefault="00006A56" w:rsidP="009E70C3">
      <w:pPr>
        <w:spacing w:after="0" w:line="240" w:lineRule="auto"/>
        <w:jc w:val="both"/>
        <w:rPr>
          <w:rFonts w:ascii="Calibri" w:eastAsia="Times New Roman" w:hAnsi="Calibri" w:cs="Calibri"/>
          <w:sz w:val="24"/>
          <w:szCs w:val="24"/>
        </w:rPr>
      </w:pPr>
    </w:p>
    <w:p w14:paraId="76A61313" w14:textId="77777777" w:rsidR="00006A56" w:rsidRPr="009E70C3" w:rsidRDefault="00006A56" w:rsidP="009E70C3">
      <w:pPr>
        <w:spacing w:after="0" w:line="240" w:lineRule="auto"/>
        <w:jc w:val="both"/>
        <w:rPr>
          <w:rFonts w:ascii="Calibri" w:eastAsia="Times New Roman" w:hAnsi="Calibri" w:cs="Calibri"/>
          <w:sz w:val="24"/>
          <w:szCs w:val="24"/>
        </w:rPr>
      </w:pPr>
    </w:p>
    <w:p w14:paraId="1563A3C7" w14:textId="5353ADCD" w:rsidR="00394EC7" w:rsidRPr="00486FA1" w:rsidRDefault="00300F55" w:rsidP="009E70C3">
      <w:pPr>
        <w:spacing w:after="0" w:line="240" w:lineRule="auto"/>
        <w:jc w:val="both"/>
        <w:rPr>
          <w:rFonts w:ascii="Calibri" w:hAnsi="Calibri" w:cs="Calibri"/>
          <w:i/>
          <w:sz w:val="24"/>
          <w:szCs w:val="24"/>
        </w:rPr>
      </w:pPr>
      <w:r w:rsidRPr="00486FA1">
        <w:rPr>
          <w:rFonts w:ascii="Calibri" w:hAnsi="Calibri" w:cs="Calibri"/>
          <w:i/>
          <w:sz w:val="24"/>
          <w:szCs w:val="24"/>
        </w:rPr>
        <w:t xml:space="preserve">This policy is reviewed annually and subject to change. </w:t>
      </w:r>
    </w:p>
    <w:p w14:paraId="4C3F6CCF" w14:textId="3076822A" w:rsidR="00486FA1" w:rsidRDefault="00486FA1">
      <w:pPr>
        <w:rPr>
          <w:rFonts w:ascii="Calibri" w:hAnsi="Calibri" w:cs="Calibri"/>
          <w:sz w:val="24"/>
          <w:szCs w:val="24"/>
        </w:rPr>
      </w:pPr>
      <w:r>
        <w:rPr>
          <w:rFonts w:ascii="Calibri" w:hAnsi="Calibri" w:cs="Calibri"/>
          <w:sz w:val="24"/>
          <w:szCs w:val="24"/>
        </w:rPr>
        <w:br w:type="page"/>
      </w:r>
    </w:p>
    <w:p w14:paraId="37BA487E" w14:textId="77777777" w:rsidR="00006A56" w:rsidRPr="00006A56" w:rsidRDefault="00006A56" w:rsidP="00486FA1">
      <w:pPr>
        <w:spacing w:after="0" w:line="240" w:lineRule="auto"/>
        <w:jc w:val="center"/>
        <w:rPr>
          <w:rFonts w:ascii="Calibri" w:eastAsia="Times New Roman" w:hAnsi="Calibri" w:cs="Calibri"/>
          <w:b/>
          <w:sz w:val="18"/>
          <w:szCs w:val="24"/>
        </w:rPr>
      </w:pPr>
    </w:p>
    <w:p w14:paraId="6BE40F7A" w14:textId="160FDB25" w:rsidR="00486FA1" w:rsidRPr="00486FA1" w:rsidRDefault="00486FA1" w:rsidP="00486FA1">
      <w:pPr>
        <w:spacing w:after="0" w:line="240" w:lineRule="auto"/>
        <w:jc w:val="center"/>
        <w:rPr>
          <w:rFonts w:ascii="Calibri" w:hAnsi="Calibri" w:cs="Calibri"/>
          <w:b/>
          <w:sz w:val="28"/>
          <w:szCs w:val="24"/>
        </w:rPr>
      </w:pPr>
      <w:r w:rsidRPr="00486FA1">
        <w:rPr>
          <w:rFonts w:ascii="Calibri" w:eastAsia="Times New Roman" w:hAnsi="Calibri" w:cs="Calibri"/>
          <w:b/>
          <w:sz w:val="28"/>
          <w:szCs w:val="24"/>
        </w:rPr>
        <w:t>APPENDIX A</w:t>
      </w:r>
      <w:r w:rsidR="00006A56">
        <w:rPr>
          <w:rFonts w:ascii="Calibri" w:eastAsia="Times New Roman" w:hAnsi="Calibri" w:cs="Calibri"/>
          <w:b/>
          <w:sz w:val="28"/>
          <w:szCs w:val="24"/>
        </w:rPr>
        <w:t xml:space="preserve">: SPPH Priority Populations </w:t>
      </w:r>
    </w:p>
    <w:p w14:paraId="27A5D0CC" w14:textId="77777777" w:rsidR="00486FA1" w:rsidRDefault="00486FA1" w:rsidP="00486FA1">
      <w:pPr>
        <w:autoSpaceDE w:val="0"/>
        <w:autoSpaceDN w:val="0"/>
        <w:adjustRightInd w:val="0"/>
        <w:spacing w:after="0" w:line="240" w:lineRule="auto"/>
        <w:ind w:left="900"/>
        <w:rPr>
          <w:rFonts w:ascii="Calibri" w:hAnsi="Calibri" w:cs="Calibri"/>
          <w:sz w:val="24"/>
          <w:szCs w:val="24"/>
        </w:rPr>
      </w:pPr>
    </w:p>
    <w:p w14:paraId="6A531F82" w14:textId="1A9FB6CF" w:rsidR="00726947" w:rsidRPr="009E70C3" w:rsidRDefault="00726947" w:rsidP="00E7424B">
      <w:pPr>
        <w:autoSpaceDE w:val="0"/>
        <w:autoSpaceDN w:val="0"/>
        <w:adjustRightInd w:val="0"/>
        <w:spacing w:after="0" w:line="240" w:lineRule="auto"/>
        <w:rPr>
          <w:rFonts w:ascii="Calibri" w:hAnsi="Calibri" w:cs="Calibri"/>
          <w:sz w:val="24"/>
          <w:szCs w:val="24"/>
        </w:rPr>
      </w:pPr>
      <w:r w:rsidRPr="009E70C3">
        <w:rPr>
          <w:rFonts w:ascii="Calibri" w:hAnsi="Calibri" w:cs="Calibri"/>
          <w:b/>
          <w:bCs/>
          <w:sz w:val="24"/>
          <w:szCs w:val="24"/>
        </w:rPr>
        <w:t>Multilingual Speakers:</w:t>
      </w:r>
      <w:r w:rsidRPr="009E70C3">
        <w:rPr>
          <w:rFonts w:ascii="Calibri" w:hAnsi="Calibri" w:cs="Calibri"/>
          <w:sz w:val="24"/>
          <w:szCs w:val="24"/>
        </w:rPr>
        <w:t xml:space="preserve"> Approximately 29.5% of Texans live in Spanish-speaking households, more than twice the national average and the highest proportion of any state in the US (</w:t>
      </w:r>
      <w:hyperlink r:id="rId11" w:history="1">
        <w:r w:rsidRPr="009E70C3">
          <w:rPr>
            <w:rStyle w:val="Hyperlink"/>
            <w:rFonts w:ascii="Calibri" w:hAnsi="Calibri" w:cs="Calibri"/>
            <w:sz w:val="24"/>
            <w:szCs w:val="24"/>
          </w:rPr>
          <w:t>https://statisticalatlas.com/state/Texas/Languages</w:t>
        </w:r>
      </w:hyperlink>
      <w:r w:rsidRPr="009E70C3">
        <w:rPr>
          <w:rFonts w:ascii="Calibri" w:hAnsi="Calibri" w:cs="Calibri"/>
          <w:sz w:val="24"/>
          <w:szCs w:val="24"/>
        </w:rPr>
        <w:t xml:space="preserve">). It is important to the health of West Texas for our graduates to communicate effectively with constituents in our region. Since all non-US students must demonstrate English proficiency through standardized </w:t>
      </w:r>
      <w:proofErr w:type="gramStart"/>
      <w:r w:rsidRPr="009E70C3">
        <w:rPr>
          <w:rFonts w:ascii="Calibri" w:hAnsi="Calibri" w:cs="Calibri"/>
          <w:sz w:val="24"/>
          <w:szCs w:val="24"/>
        </w:rPr>
        <w:t>assurances</w:t>
      </w:r>
      <w:proofErr w:type="gramEnd"/>
      <w:r w:rsidRPr="009E70C3">
        <w:rPr>
          <w:rFonts w:ascii="Calibri" w:hAnsi="Calibri" w:cs="Calibri"/>
          <w:sz w:val="24"/>
          <w:szCs w:val="24"/>
        </w:rPr>
        <w:t xml:space="preserve"> we define multilingual as any applicant in SOPHAS who lists a non-English language (Spanish or otherwise) under languages spoken. This data is collected through the SOPHAS application and will be reviewed by the S</w:t>
      </w:r>
      <w:r w:rsidR="00E7424B">
        <w:rPr>
          <w:rFonts w:ascii="Calibri" w:hAnsi="Calibri" w:cs="Calibri"/>
          <w:sz w:val="24"/>
          <w:szCs w:val="24"/>
        </w:rPr>
        <w:t xml:space="preserve">tudent Experience Committee (SEC) </w:t>
      </w:r>
      <w:r w:rsidRPr="009E70C3">
        <w:rPr>
          <w:rFonts w:ascii="Calibri" w:hAnsi="Calibri" w:cs="Calibri"/>
          <w:sz w:val="24"/>
          <w:szCs w:val="24"/>
        </w:rPr>
        <w:t>for each admissions cycle (three times per year). The SEC will report trend data at least once every two years to the L</w:t>
      </w:r>
      <w:r w:rsidR="00E7424B">
        <w:rPr>
          <w:rFonts w:ascii="Calibri" w:hAnsi="Calibri" w:cs="Calibri"/>
          <w:sz w:val="24"/>
          <w:szCs w:val="24"/>
        </w:rPr>
        <w:t xml:space="preserve">earning </w:t>
      </w:r>
      <w:r w:rsidRPr="009E70C3">
        <w:rPr>
          <w:rFonts w:ascii="Calibri" w:hAnsi="Calibri" w:cs="Calibri"/>
          <w:sz w:val="24"/>
          <w:szCs w:val="24"/>
        </w:rPr>
        <w:t>O</w:t>
      </w:r>
      <w:r w:rsidR="00E7424B">
        <w:rPr>
          <w:rFonts w:ascii="Calibri" w:hAnsi="Calibri" w:cs="Calibri"/>
          <w:sz w:val="24"/>
          <w:szCs w:val="24"/>
        </w:rPr>
        <w:t xml:space="preserve">utcomes </w:t>
      </w:r>
      <w:proofErr w:type="spellStart"/>
      <w:r w:rsidRPr="009E70C3">
        <w:rPr>
          <w:rFonts w:ascii="Calibri" w:hAnsi="Calibri" w:cs="Calibri"/>
          <w:sz w:val="24"/>
          <w:szCs w:val="24"/>
        </w:rPr>
        <w:t>C</w:t>
      </w:r>
      <w:r w:rsidR="00E7424B">
        <w:rPr>
          <w:rFonts w:ascii="Calibri" w:hAnsi="Calibri" w:cs="Calibri"/>
          <w:sz w:val="24"/>
          <w:szCs w:val="24"/>
        </w:rPr>
        <w:t>committee</w:t>
      </w:r>
      <w:proofErr w:type="spellEnd"/>
      <w:r w:rsidR="00E7424B">
        <w:rPr>
          <w:rFonts w:ascii="Calibri" w:hAnsi="Calibri" w:cs="Calibri"/>
          <w:sz w:val="24"/>
          <w:szCs w:val="24"/>
        </w:rPr>
        <w:t xml:space="preserve"> (LOC)</w:t>
      </w:r>
      <w:r w:rsidRPr="009E70C3">
        <w:rPr>
          <w:rFonts w:ascii="Calibri" w:hAnsi="Calibri" w:cs="Calibri"/>
          <w:sz w:val="24"/>
          <w:szCs w:val="24"/>
        </w:rPr>
        <w:t xml:space="preserve"> and/or the whole faculty and will make recommendations for remediation if appropriate.</w:t>
      </w:r>
    </w:p>
    <w:p w14:paraId="11ECB49E" w14:textId="77777777" w:rsidR="00726947" w:rsidRPr="009E70C3" w:rsidRDefault="00726947" w:rsidP="00726947">
      <w:pPr>
        <w:autoSpaceDE w:val="0"/>
        <w:autoSpaceDN w:val="0"/>
        <w:adjustRightInd w:val="0"/>
        <w:spacing w:after="0" w:line="240" w:lineRule="auto"/>
        <w:jc w:val="both"/>
        <w:rPr>
          <w:rFonts w:ascii="Calibri" w:hAnsi="Calibri" w:cs="Calibri"/>
          <w:b/>
          <w:bCs/>
          <w:sz w:val="24"/>
          <w:szCs w:val="24"/>
        </w:rPr>
      </w:pPr>
    </w:p>
    <w:p w14:paraId="40D9C493" w14:textId="6F8B1AA2" w:rsidR="00726947" w:rsidRPr="009E70C3" w:rsidRDefault="00726947" w:rsidP="00726947">
      <w:pPr>
        <w:autoSpaceDE w:val="0"/>
        <w:autoSpaceDN w:val="0"/>
        <w:adjustRightInd w:val="0"/>
        <w:spacing w:after="0" w:line="240" w:lineRule="auto"/>
        <w:jc w:val="both"/>
        <w:rPr>
          <w:rFonts w:ascii="Calibri" w:hAnsi="Calibri" w:cs="Calibri"/>
          <w:sz w:val="24"/>
          <w:szCs w:val="24"/>
        </w:rPr>
      </w:pPr>
      <w:r w:rsidRPr="009E70C3">
        <w:rPr>
          <w:rFonts w:ascii="Calibri" w:hAnsi="Calibri" w:cs="Calibri"/>
          <w:b/>
          <w:bCs/>
          <w:sz w:val="24"/>
          <w:szCs w:val="24"/>
        </w:rPr>
        <w:t>West Texas Residents:</w:t>
      </w:r>
      <w:r w:rsidRPr="009E70C3">
        <w:rPr>
          <w:rFonts w:ascii="Calibri" w:hAnsi="Calibri" w:cs="Calibri"/>
          <w:sz w:val="24"/>
          <w:szCs w:val="24"/>
        </w:rPr>
        <w:t xml:space="preserve"> TTUHSC and SPPH have an abiding commitment to the region of West Texas and the communities of Abilene and Lubbock, where SPPH has campuses. Part of our commitment to the region and our local communities is offering accessible education to our residents. We define applicants from West Texas as those whose applications include a permanent mailing address in the 108 counties</w:t>
      </w:r>
      <w:r>
        <w:rPr>
          <w:rFonts w:ascii="Calibri" w:hAnsi="Calibri" w:cs="Calibri"/>
          <w:sz w:val="24"/>
          <w:szCs w:val="24"/>
        </w:rPr>
        <w:t xml:space="preserve"> (Please refer to the TTUHSC </w:t>
      </w:r>
      <w:r w:rsidR="006D5DAF">
        <w:rPr>
          <w:rFonts w:ascii="Calibri" w:hAnsi="Calibri" w:cs="Calibri"/>
          <w:sz w:val="24"/>
          <w:szCs w:val="24"/>
        </w:rPr>
        <w:t>Fact</w:t>
      </w:r>
      <w:r>
        <w:rPr>
          <w:rFonts w:ascii="Calibri" w:hAnsi="Calibri" w:cs="Calibri"/>
          <w:sz w:val="24"/>
          <w:szCs w:val="24"/>
        </w:rPr>
        <w:t xml:space="preserve"> Book </w:t>
      </w:r>
      <w:hyperlink r:id="rId12" w:history="1">
        <w:r w:rsidRPr="00093107">
          <w:rPr>
            <w:rStyle w:val="Hyperlink"/>
            <w:rFonts w:ascii="Calibri" w:hAnsi="Calibri" w:cs="Calibri"/>
            <w:sz w:val="24"/>
            <w:szCs w:val="24"/>
          </w:rPr>
          <w:t>https://www.ttuhsc.edu/about/factbook.aspx</w:t>
        </w:r>
      </w:hyperlink>
      <w:r>
        <w:rPr>
          <w:rFonts w:ascii="Calibri" w:hAnsi="Calibri" w:cs="Calibri"/>
          <w:sz w:val="24"/>
          <w:szCs w:val="24"/>
        </w:rPr>
        <w:t>).</w:t>
      </w:r>
      <w:r w:rsidRPr="009E70C3">
        <w:rPr>
          <w:rFonts w:ascii="Calibri" w:hAnsi="Calibri" w:cs="Calibri"/>
          <w:sz w:val="24"/>
          <w:szCs w:val="24"/>
        </w:rPr>
        <w:t>This data is collected through the SOPHAS application and will be reviewed by the SEC for each admissions cycle (three times per year). The SEC will report trend data at least once every two years to the LOC and/or the whole faculty and will make recommendations for remediation if appropriate. This information will also be shared with the C</w:t>
      </w:r>
      <w:r w:rsidR="00E7424B">
        <w:rPr>
          <w:rFonts w:ascii="Calibri" w:hAnsi="Calibri" w:cs="Calibri"/>
          <w:sz w:val="24"/>
          <w:szCs w:val="24"/>
        </w:rPr>
        <w:t xml:space="preserve">ommunity </w:t>
      </w:r>
      <w:r w:rsidRPr="009E70C3">
        <w:rPr>
          <w:rFonts w:ascii="Calibri" w:hAnsi="Calibri" w:cs="Calibri"/>
          <w:sz w:val="24"/>
          <w:szCs w:val="24"/>
        </w:rPr>
        <w:t>A</w:t>
      </w:r>
      <w:r w:rsidR="00E7424B">
        <w:rPr>
          <w:rFonts w:ascii="Calibri" w:hAnsi="Calibri" w:cs="Calibri"/>
          <w:sz w:val="24"/>
          <w:szCs w:val="24"/>
        </w:rPr>
        <w:t xml:space="preserve">dvisory </w:t>
      </w:r>
      <w:r w:rsidRPr="009E70C3">
        <w:rPr>
          <w:rFonts w:ascii="Calibri" w:hAnsi="Calibri" w:cs="Calibri"/>
          <w:sz w:val="24"/>
          <w:szCs w:val="24"/>
        </w:rPr>
        <w:t>B</w:t>
      </w:r>
      <w:r w:rsidR="00E7424B">
        <w:rPr>
          <w:rFonts w:ascii="Calibri" w:hAnsi="Calibri" w:cs="Calibri"/>
          <w:sz w:val="24"/>
          <w:szCs w:val="24"/>
        </w:rPr>
        <w:t>oard</w:t>
      </w:r>
      <w:r w:rsidRPr="009E70C3">
        <w:rPr>
          <w:rFonts w:ascii="Calibri" w:hAnsi="Calibri" w:cs="Calibri"/>
          <w:sz w:val="24"/>
          <w:szCs w:val="24"/>
        </w:rPr>
        <w:t xml:space="preserve"> at least once every two years.</w:t>
      </w:r>
    </w:p>
    <w:p w14:paraId="7D571790" w14:textId="77777777" w:rsidR="00726947" w:rsidRPr="009E70C3" w:rsidRDefault="00726947" w:rsidP="00726947">
      <w:pPr>
        <w:autoSpaceDE w:val="0"/>
        <w:autoSpaceDN w:val="0"/>
        <w:adjustRightInd w:val="0"/>
        <w:spacing w:after="0" w:line="240" w:lineRule="auto"/>
        <w:jc w:val="both"/>
        <w:rPr>
          <w:rFonts w:ascii="Calibri" w:hAnsi="Calibri" w:cs="Calibri"/>
          <w:sz w:val="24"/>
          <w:szCs w:val="24"/>
        </w:rPr>
      </w:pPr>
    </w:p>
    <w:p w14:paraId="112FD930" w14:textId="136920E7" w:rsidR="00726947" w:rsidRDefault="00726947" w:rsidP="00726947">
      <w:pPr>
        <w:autoSpaceDE w:val="0"/>
        <w:autoSpaceDN w:val="0"/>
        <w:adjustRightInd w:val="0"/>
        <w:spacing w:after="0" w:line="240" w:lineRule="auto"/>
        <w:jc w:val="both"/>
        <w:rPr>
          <w:rFonts w:ascii="Calibri" w:hAnsi="Calibri" w:cs="Calibri"/>
          <w:sz w:val="24"/>
          <w:szCs w:val="24"/>
        </w:rPr>
      </w:pPr>
      <w:r w:rsidRPr="009E70C3">
        <w:rPr>
          <w:rFonts w:ascii="Calibri" w:hAnsi="Calibri" w:cs="Calibri"/>
          <w:b/>
          <w:bCs/>
          <w:sz w:val="24"/>
          <w:szCs w:val="24"/>
        </w:rPr>
        <w:t>First Generation College Graduates:</w:t>
      </w:r>
      <w:r w:rsidRPr="009E70C3">
        <w:rPr>
          <w:rFonts w:ascii="Calibri" w:hAnsi="Calibri" w:cs="Calibri"/>
          <w:sz w:val="24"/>
          <w:szCs w:val="24"/>
        </w:rPr>
        <w:t xml:space="preserve"> Only 34.9% of Texans 25 or older hold a bachelor’s degree or higher, which is lower than the national average; and 17.7% have no high school diploma (</w:t>
      </w:r>
      <w:hyperlink r:id="rId13" w:history="1">
        <w:r w:rsidRPr="009E70C3">
          <w:rPr>
            <w:rStyle w:val="Hyperlink"/>
            <w:rFonts w:ascii="Calibri" w:hAnsi="Calibri" w:cs="Calibri"/>
            <w:sz w:val="24"/>
            <w:szCs w:val="24"/>
          </w:rPr>
          <w:t>https://statisticalatlas.com/state/Texas/Educational-Attainment</w:t>
        </w:r>
      </w:hyperlink>
      <w:r w:rsidRPr="009E70C3">
        <w:rPr>
          <w:rFonts w:ascii="Calibri" w:hAnsi="Calibri" w:cs="Calibri"/>
          <w:sz w:val="24"/>
          <w:szCs w:val="24"/>
        </w:rPr>
        <w:t>). Within the state, West Texas has lower educational attainment than the state as a whole. Aspiring students who are the first in their families to enroll in or graduate from college often need extra support in affording and navigating graduate school. They also have influence and close ties to constituents who are most adversely affected by disease and disability. We define First Generation College Graduates as those who answered “Yes” to the SOPHAS application prompt: “</w:t>
      </w:r>
      <w:r w:rsidRPr="009E70C3">
        <w:rPr>
          <w:rFonts w:ascii="Calibri" w:hAnsi="Calibri" w:cs="Calibri"/>
          <w:i/>
          <w:iCs/>
          <w:sz w:val="24"/>
          <w:szCs w:val="24"/>
          <w14:ligatures w14:val="standardContextual"/>
        </w:rPr>
        <w:t>I am the first generation in my family to attend college (neither my mother nor my father attended college)</w:t>
      </w:r>
      <w:r w:rsidRPr="009E70C3">
        <w:rPr>
          <w:rFonts w:ascii="Calibri" w:hAnsi="Calibri" w:cs="Calibri"/>
          <w:sz w:val="24"/>
          <w:szCs w:val="24"/>
        </w:rPr>
        <w:t>.” This data is collected through the SOPHAS application and will be reviewed by the SEC for each admissions cycle (three times per year). The SEC will report trend data at least once every two years to the LOC and/or the whole faculty and will make recommendations for remediation if appropriate.</w:t>
      </w:r>
    </w:p>
    <w:p w14:paraId="73ABD33C" w14:textId="77777777" w:rsidR="00726947" w:rsidRPr="009E70C3" w:rsidRDefault="00726947" w:rsidP="00726947">
      <w:pPr>
        <w:autoSpaceDE w:val="0"/>
        <w:autoSpaceDN w:val="0"/>
        <w:adjustRightInd w:val="0"/>
        <w:spacing w:after="0" w:line="240" w:lineRule="auto"/>
        <w:jc w:val="both"/>
        <w:rPr>
          <w:rFonts w:ascii="Calibri" w:hAnsi="Calibri" w:cs="Calibri"/>
          <w:sz w:val="24"/>
          <w:szCs w:val="24"/>
        </w:rPr>
      </w:pPr>
    </w:p>
    <w:p w14:paraId="09F09776" w14:textId="058CCA0F" w:rsidR="00726947" w:rsidRPr="009E70C3" w:rsidRDefault="00726947" w:rsidP="00726947">
      <w:pPr>
        <w:autoSpaceDE w:val="0"/>
        <w:autoSpaceDN w:val="0"/>
        <w:adjustRightInd w:val="0"/>
        <w:spacing w:after="0" w:line="240" w:lineRule="auto"/>
        <w:jc w:val="both"/>
        <w:rPr>
          <w:rFonts w:ascii="Calibri" w:hAnsi="Calibri" w:cs="Calibri"/>
          <w:sz w:val="24"/>
          <w:szCs w:val="24"/>
        </w:rPr>
      </w:pPr>
      <w:r w:rsidRPr="009E70C3">
        <w:rPr>
          <w:rFonts w:ascii="Calibri" w:hAnsi="Calibri" w:cs="Calibri"/>
          <w:b/>
          <w:bCs/>
          <w:sz w:val="24"/>
          <w:szCs w:val="24"/>
        </w:rPr>
        <w:t>TTUHSC Clinical Students:</w:t>
      </w:r>
      <w:r w:rsidRPr="009E70C3">
        <w:rPr>
          <w:rFonts w:ascii="Calibri" w:hAnsi="Calibri" w:cs="Calibri"/>
          <w:sz w:val="24"/>
          <w:szCs w:val="24"/>
        </w:rPr>
        <w:t xml:space="preserve"> TTUHSC strongly supports public health education for all who work in health and health care. </w:t>
      </w:r>
      <w:r w:rsidR="00E7424B">
        <w:rPr>
          <w:rFonts w:ascii="Calibri" w:hAnsi="Calibri" w:cs="Calibri"/>
          <w:sz w:val="24"/>
          <w:szCs w:val="24"/>
        </w:rPr>
        <w:t xml:space="preserve">Texas Tech University System </w:t>
      </w:r>
      <w:r w:rsidRPr="009E70C3">
        <w:rPr>
          <w:rFonts w:ascii="Calibri" w:hAnsi="Calibri" w:cs="Calibri"/>
          <w:sz w:val="24"/>
          <w:szCs w:val="24"/>
        </w:rPr>
        <w:t xml:space="preserve">Chancellor </w:t>
      </w:r>
      <w:proofErr w:type="spellStart"/>
      <w:r w:rsidRPr="009E70C3">
        <w:rPr>
          <w:rFonts w:ascii="Calibri" w:hAnsi="Calibri" w:cs="Calibri"/>
          <w:sz w:val="24"/>
          <w:szCs w:val="24"/>
        </w:rPr>
        <w:t>Tedd</w:t>
      </w:r>
      <w:proofErr w:type="spellEnd"/>
      <w:r w:rsidRPr="009E70C3">
        <w:rPr>
          <w:rFonts w:ascii="Calibri" w:hAnsi="Calibri" w:cs="Calibri"/>
          <w:sz w:val="24"/>
          <w:szCs w:val="24"/>
        </w:rPr>
        <w:t xml:space="preserve"> Mitchell and </w:t>
      </w:r>
      <w:r w:rsidR="00E7424B">
        <w:rPr>
          <w:rFonts w:ascii="Calibri" w:hAnsi="Calibri" w:cs="Calibri"/>
          <w:sz w:val="24"/>
          <w:szCs w:val="24"/>
        </w:rPr>
        <w:t xml:space="preserve">TTHSC </w:t>
      </w:r>
      <w:r w:rsidRPr="009E70C3">
        <w:rPr>
          <w:rFonts w:ascii="Calibri" w:hAnsi="Calibri" w:cs="Calibri"/>
          <w:sz w:val="24"/>
          <w:szCs w:val="24"/>
        </w:rPr>
        <w:t xml:space="preserve">President Lori Rice-Spearman have made it a </w:t>
      </w:r>
      <w:proofErr w:type="gramStart"/>
      <w:r w:rsidRPr="009E70C3">
        <w:rPr>
          <w:rFonts w:ascii="Calibri" w:hAnsi="Calibri" w:cs="Calibri"/>
          <w:sz w:val="24"/>
          <w:szCs w:val="24"/>
        </w:rPr>
        <w:t>University</w:t>
      </w:r>
      <w:proofErr w:type="gramEnd"/>
      <w:r w:rsidRPr="009E70C3">
        <w:rPr>
          <w:rFonts w:ascii="Calibri" w:hAnsi="Calibri" w:cs="Calibri"/>
          <w:sz w:val="24"/>
          <w:szCs w:val="24"/>
        </w:rPr>
        <w:t xml:space="preserve"> priority to afford every TTUHSC student the opportunity to receive a public health credential (MPH or Certificate) during their studies at the University. To date, we have formal joint degree programs with the Schools of Medicine and </w:t>
      </w:r>
      <w:r w:rsidRPr="009E70C3">
        <w:rPr>
          <w:rFonts w:ascii="Calibri" w:hAnsi="Calibri" w:cs="Calibri"/>
          <w:sz w:val="24"/>
          <w:szCs w:val="24"/>
        </w:rPr>
        <w:lastRenderedPageBreak/>
        <w:t>Pharmacy, and the Certificate is available to any student in any of the other five Schools of TTUHSC. We define TTUHSC Clinical Students as those who are enrolled in joint degree programs with SPPH or who enroll in the Public Health Certificate Program. The SEC will report trend data at least once every two years to the LOC and/or the whole faculty and will make recommendations for remediation if appropriate.</w:t>
      </w:r>
    </w:p>
    <w:p w14:paraId="6DEF4103" w14:textId="77777777" w:rsidR="00726947" w:rsidRPr="009E70C3" w:rsidRDefault="00726947" w:rsidP="00726947">
      <w:pPr>
        <w:autoSpaceDE w:val="0"/>
        <w:autoSpaceDN w:val="0"/>
        <w:adjustRightInd w:val="0"/>
        <w:spacing w:after="0" w:line="240" w:lineRule="auto"/>
        <w:jc w:val="both"/>
        <w:rPr>
          <w:rFonts w:ascii="Calibri" w:hAnsi="Calibri" w:cs="Calibri"/>
          <w:sz w:val="24"/>
          <w:szCs w:val="24"/>
        </w:rPr>
      </w:pPr>
    </w:p>
    <w:p w14:paraId="0E9E044F" w14:textId="05304E43" w:rsidR="00726947" w:rsidRPr="009E70C3" w:rsidRDefault="00726947" w:rsidP="00726947">
      <w:pPr>
        <w:autoSpaceDE w:val="0"/>
        <w:autoSpaceDN w:val="0"/>
        <w:adjustRightInd w:val="0"/>
        <w:spacing w:after="0" w:line="240" w:lineRule="auto"/>
        <w:jc w:val="both"/>
        <w:rPr>
          <w:rFonts w:ascii="Calibri" w:hAnsi="Calibri" w:cs="Calibri"/>
          <w:sz w:val="24"/>
          <w:szCs w:val="24"/>
        </w:rPr>
      </w:pPr>
      <w:r w:rsidRPr="009E70C3">
        <w:rPr>
          <w:rFonts w:ascii="Calibri" w:hAnsi="Calibri" w:cs="Calibri"/>
          <w:b/>
          <w:bCs/>
          <w:sz w:val="24"/>
          <w:szCs w:val="24"/>
        </w:rPr>
        <w:t>Public Health Workers:</w:t>
      </w:r>
      <w:r w:rsidRPr="009E70C3">
        <w:rPr>
          <w:rFonts w:ascii="Calibri" w:hAnsi="Calibri" w:cs="Calibri"/>
          <w:sz w:val="24"/>
          <w:szCs w:val="24"/>
        </w:rPr>
        <w:t xml:space="preserve"> The proportion of public health workers in West Texas with formal public health credentials is low and decreasing as the COVID-19 pandemic and its wake cause burnout and increased early retirement of formally trained public health workers. Engaging current public health workers via credentialing also provides collateral benefits of enhancing classroom discourse, partnering with local health officials on Applied Practice Experiences and post-graduation placements, and building a community of public health scholars across West Texas. We define Public Health Workers as those who self-identify as being employed in the public health field when they began the Program. In the future, we will collect this information as a customized question on the SOPHAS application. This data will be reviewed by the SEC for each admissions cycle (three times per year). The SEC will report trend data at least once every two years to the LOC and/or the whole faculty and will make recommendations for remediation if appropriate.</w:t>
      </w:r>
      <w:r>
        <w:rPr>
          <w:rFonts w:ascii="Calibri" w:hAnsi="Calibri" w:cs="Calibri"/>
          <w:sz w:val="24"/>
          <w:szCs w:val="24"/>
        </w:rPr>
        <w:t xml:space="preserve"> </w:t>
      </w:r>
    </w:p>
    <w:p w14:paraId="5F17F3AF" w14:textId="73E7036F" w:rsidR="00006A56" w:rsidRDefault="00006A56">
      <w:pPr>
        <w:rPr>
          <w:rFonts w:ascii="Calibri" w:hAnsi="Calibri" w:cs="Calibri"/>
          <w:sz w:val="24"/>
          <w:szCs w:val="24"/>
        </w:rPr>
      </w:pPr>
      <w:r>
        <w:rPr>
          <w:rFonts w:ascii="Calibri" w:hAnsi="Calibri" w:cs="Calibri"/>
          <w:sz w:val="24"/>
          <w:szCs w:val="24"/>
        </w:rPr>
        <w:br w:type="page"/>
      </w:r>
    </w:p>
    <w:p w14:paraId="1820B7F0" w14:textId="77777777" w:rsidR="00006A56" w:rsidRDefault="00006A56" w:rsidP="00006A56">
      <w:pPr>
        <w:spacing w:after="0" w:line="240" w:lineRule="auto"/>
        <w:jc w:val="center"/>
        <w:rPr>
          <w:rFonts w:ascii="Calibri" w:eastAsia="Times New Roman" w:hAnsi="Calibri" w:cs="Calibri"/>
          <w:b/>
          <w:sz w:val="28"/>
          <w:szCs w:val="24"/>
        </w:rPr>
        <w:sectPr w:rsidR="00006A5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14:paraId="267F06C6" w14:textId="33A9E771" w:rsidR="00006A56" w:rsidRPr="00486FA1" w:rsidRDefault="00006A56" w:rsidP="00006A56">
      <w:pPr>
        <w:spacing w:after="0" w:line="240" w:lineRule="auto"/>
        <w:jc w:val="center"/>
        <w:rPr>
          <w:rFonts w:ascii="Calibri" w:hAnsi="Calibri" w:cs="Calibri"/>
          <w:b/>
          <w:sz w:val="28"/>
          <w:szCs w:val="24"/>
        </w:rPr>
      </w:pPr>
      <w:r w:rsidRPr="00486FA1">
        <w:rPr>
          <w:rFonts w:ascii="Calibri" w:eastAsia="Times New Roman" w:hAnsi="Calibri" w:cs="Calibri"/>
          <w:b/>
          <w:sz w:val="28"/>
          <w:szCs w:val="24"/>
        </w:rPr>
        <w:lastRenderedPageBreak/>
        <w:t xml:space="preserve">APPENDIX </w:t>
      </w:r>
      <w:r>
        <w:rPr>
          <w:rFonts w:ascii="Calibri" w:eastAsia="Times New Roman" w:hAnsi="Calibri" w:cs="Calibri"/>
          <w:b/>
          <w:sz w:val="28"/>
          <w:szCs w:val="24"/>
        </w:rPr>
        <w:t>B: Presidential Scholar Application Evaluation Criteria</w:t>
      </w:r>
    </w:p>
    <w:p w14:paraId="72339053" w14:textId="77777777" w:rsidR="00006A56" w:rsidRDefault="00006A56" w:rsidP="00006A56">
      <w:pPr>
        <w:autoSpaceDE w:val="0"/>
        <w:autoSpaceDN w:val="0"/>
        <w:adjustRightInd w:val="0"/>
        <w:spacing w:after="0" w:line="240" w:lineRule="auto"/>
        <w:ind w:left="900"/>
        <w:rPr>
          <w:rFonts w:ascii="Calibri" w:hAnsi="Calibri" w:cs="Calibri"/>
          <w:sz w:val="24"/>
          <w:szCs w:val="24"/>
        </w:rPr>
      </w:pPr>
    </w:p>
    <w:p w14:paraId="007BBFF0" w14:textId="6BEC2E2A" w:rsidR="00726947" w:rsidRPr="009E70C3" w:rsidRDefault="00006A56" w:rsidP="00726947">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Note: Applications will be evaluated and scored using the following criteria</w:t>
      </w:r>
    </w:p>
    <w:p w14:paraId="34EC6820" w14:textId="77777777" w:rsidR="00726947" w:rsidRPr="00486FA1" w:rsidRDefault="00726947" w:rsidP="00726947">
      <w:pPr>
        <w:spacing w:after="0" w:line="240" w:lineRule="auto"/>
        <w:jc w:val="both"/>
        <w:rPr>
          <w:rFonts w:ascii="Calibri" w:hAnsi="Calibri" w:cs="Calibri"/>
          <w:sz w:val="23"/>
          <w:szCs w:val="23"/>
        </w:rPr>
      </w:pPr>
    </w:p>
    <w:tbl>
      <w:tblPr>
        <w:tblW w:w="14351" w:type="dxa"/>
        <w:tblInd w:w="-598" w:type="dxa"/>
        <w:tblLook w:val="04A0" w:firstRow="1" w:lastRow="0" w:firstColumn="1" w:lastColumn="0" w:noHBand="0" w:noVBand="1"/>
      </w:tblPr>
      <w:tblGrid>
        <w:gridCol w:w="1130"/>
        <w:gridCol w:w="1183"/>
        <w:gridCol w:w="965"/>
        <w:gridCol w:w="887"/>
        <w:gridCol w:w="1198"/>
        <w:gridCol w:w="1463"/>
        <w:gridCol w:w="1222"/>
        <w:gridCol w:w="995"/>
        <w:gridCol w:w="1123"/>
        <w:gridCol w:w="950"/>
        <w:gridCol w:w="937"/>
        <w:gridCol w:w="1149"/>
        <w:gridCol w:w="1149"/>
      </w:tblGrid>
      <w:tr w:rsidR="009D7722" w:rsidRPr="00006A56" w14:paraId="2E0B1D89" w14:textId="77777777" w:rsidTr="009D7722">
        <w:trPr>
          <w:trHeight w:val="789"/>
        </w:trPr>
        <w:tc>
          <w:tcPr>
            <w:tcW w:w="11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DC58F34" w14:textId="77777777" w:rsidR="009D7722" w:rsidRPr="00006A56" w:rsidRDefault="009D7722" w:rsidP="00006A56">
            <w:pPr>
              <w:spacing w:after="0" w:line="240" w:lineRule="auto"/>
              <w:rPr>
                <w:rFonts w:eastAsia="Times New Roman" w:cs="Times New Roman"/>
                <w:b/>
                <w:bCs/>
                <w:color w:val="000000"/>
                <w:sz w:val="20"/>
                <w:szCs w:val="20"/>
              </w:rPr>
            </w:pPr>
            <w:r w:rsidRPr="00006A56">
              <w:rPr>
                <w:rFonts w:eastAsia="Times New Roman" w:cs="Times New Roman"/>
                <w:b/>
                <w:bCs/>
                <w:color w:val="000000"/>
                <w:sz w:val="20"/>
                <w:szCs w:val="20"/>
              </w:rPr>
              <w:t> </w:t>
            </w:r>
          </w:p>
        </w:tc>
        <w:tc>
          <w:tcPr>
            <w:tcW w:w="1183" w:type="dxa"/>
            <w:tcBorders>
              <w:top w:val="single" w:sz="4" w:space="0" w:color="auto"/>
              <w:left w:val="nil"/>
              <w:bottom w:val="single" w:sz="4" w:space="0" w:color="auto"/>
              <w:right w:val="single" w:sz="4" w:space="0" w:color="auto"/>
            </w:tcBorders>
            <w:shd w:val="clear" w:color="000000" w:fill="E7E6E6"/>
            <w:vAlign w:val="center"/>
            <w:hideMark/>
          </w:tcPr>
          <w:p w14:paraId="0F1395A3" w14:textId="77777777" w:rsidR="009D7722" w:rsidRPr="00006A56" w:rsidRDefault="009D7722" w:rsidP="00006A56">
            <w:pPr>
              <w:spacing w:after="0" w:line="240" w:lineRule="auto"/>
              <w:jc w:val="center"/>
              <w:rPr>
                <w:rFonts w:eastAsia="Times New Roman" w:cs="Times New Roman"/>
                <w:b/>
                <w:bCs/>
                <w:color w:val="000000"/>
                <w:sz w:val="20"/>
                <w:szCs w:val="20"/>
              </w:rPr>
            </w:pPr>
            <w:r w:rsidRPr="00006A56">
              <w:rPr>
                <w:rFonts w:eastAsia="Times New Roman" w:cs="Times New Roman"/>
                <w:b/>
                <w:bCs/>
                <w:color w:val="000000"/>
                <w:sz w:val="20"/>
                <w:szCs w:val="20"/>
              </w:rPr>
              <w:t>Complete Application</w:t>
            </w:r>
          </w:p>
        </w:tc>
        <w:tc>
          <w:tcPr>
            <w:tcW w:w="965" w:type="dxa"/>
            <w:tcBorders>
              <w:top w:val="single" w:sz="4" w:space="0" w:color="auto"/>
              <w:left w:val="nil"/>
              <w:bottom w:val="single" w:sz="4" w:space="0" w:color="auto"/>
              <w:right w:val="single" w:sz="4" w:space="0" w:color="auto"/>
            </w:tcBorders>
            <w:shd w:val="clear" w:color="000000" w:fill="E7E6E6"/>
            <w:vAlign w:val="center"/>
            <w:hideMark/>
          </w:tcPr>
          <w:p w14:paraId="7D603639" w14:textId="77777777" w:rsidR="009D7722" w:rsidRPr="00006A56" w:rsidRDefault="009D7722" w:rsidP="00006A56">
            <w:pPr>
              <w:spacing w:after="0" w:line="240" w:lineRule="auto"/>
              <w:jc w:val="center"/>
              <w:rPr>
                <w:rFonts w:eastAsia="Times New Roman" w:cs="Times New Roman"/>
                <w:b/>
                <w:bCs/>
                <w:color w:val="000000"/>
                <w:sz w:val="20"/>
                <w:szCs w:val="20"/>
              </w:rPr>
            </w:pPr>
            <w:r w:rsidRPr="00006A56">
              <w:rPr>
                <w:rFonts w:eastAsia="Times New Roman" w:cs="Times New Roman"/>
                <w:b/>
                <w:bCs/>
                <w:color w:val="000000"/>
                <w:sz w:val="20"/>
                <w:szCs w:val="20"/>
              </w:rPr>
              <w:t>SPPH student?</w:t>
            </w:r>
          </w:p>
        </w:tc>
        <w:tc>
          <w:tcPr>
            <w:tcW w:w="887" w:type="dxa"/>
            <w:tcBorders>
              <w:top w:val="single" w:sz="4" w:space="0" w:color="auto"/>
              <w:left w:val="nil"/>
              <w:bottom w:val="single" w:sz="4" w:space="0" w:color="auto"/>
              <w:right w:val="single" w:sz="4" w:space="0" w:color="auto"/>
            </w:tcBorders>
            <w:shd w:val="clear" w:color="000000" w:fill="E7E6E6"/>
            <w:vAlign w:val="center"/>
            <w:hideMark/>
          </w:tcPr>
          <w:p w14:paraId="6F0D28C2" w14:textId="77777777" w:rsidR="009D7722" w:rsidRPr="00006A56" w:rsidRDefault="009D7722" w:rsidP="00006A56">
            <w:pPr>
              <w:spacing w:after="0" w:line="240" w:lineRule="auto"/>
              <w:jc w:val="center"/>
              <w:rPr>
                <w:rFonts w:eastAsia="Times New Roman" w:cs="Times New Roman"/>
                <w:b/>
                <w:bCs/>
                <w:color w:val="000000"/>
                <w:sz w:val="20"/>
                <w:szCs w:val="20"/>
              </w:rPr>
            </w:pPr>
            <w:r w:rsidRPr="00006A56">
              <w:rPr>
                <w:rFonts w:eastAsia="Times New Roman" w:cs="Times New Roman"/>
                <w:b/>
                <w:bCs/>
                <w:color w:val="000000"/>
                <w:sz w:val="20"/>
                <w:szCs w:val="20"/>
              </w:rPr>
              <w:t xml:space="preserve">Full-time TTUHSC </w:t>
            </w:r>
          </w:p>
        </w:tc>
        <w:tc>
          <w:tcPr>
            <w:tcW w:w="2661" w:type="dxa"/>
            <w:gridSpan w:val="2"/>
            <w:tcBorders>
              <w:top w:val="single" w:sz="4" w:space="0" w:color="auto"/>
              <w:left w:val="nil"/>
              <w:bottom w:val="single" w:sz="4" w:space="0" w:color="auto"/>
              <w:right w:val="single" w:sz="4" w:space="0" w:color="auto"/>
            </w:tcBorders>
            <w:shd w:val="clear" w:color="000000" w:fill="E7E6E6"/>
            <w:vAlign w:val="center"/>
            <w:hideMark/>
          </w:tcPr>
          <w:p w14:paraId="66E184A6" w14:textId="77777777" w:rsidR="009D7722" w:rsidRPr="00006A56" w:rsidRDefault="009D7722" w:rsidP="009D7722">
            <w:pPr>
              <w:spacing w:after="0" w:line="240" w:lineRule="auto"/>
              <w:rPr>
                <w:rFonts w:eastAsia="Times New Roman" w:cs="Times New Roman"/>
                <w:b/>
                <w:bCs/>
                <w:color w:val="000000"/>
                <w:sz w:val="20"/>
                <w:szCs w:val="20"/>
              </w:rPr>
            </w:pPr>
            <w:r w:rsidRPr="00006A56">
              <w:rPr>
                <w:rFonts w:eastAsia="Times New Roman" w:cs="Times New Roman"/>
                <w:b/>
                <w:bCs/>
                <w:color w:val="000000"/>
                <w:sz w:val="20"/>
                <w:szCs w:val="20"/>
              </w:rPr>
              <w:t>GPA</w:t>
            </w:r>
          </w:p>
        </w:tc>
        <w:tc>
          <w:tcPr>
            <w:tcW w:w="1222" w:type="dxa"/>
            <w:tcBorders>
              <w:top w:val="single" w:sz="4" w:space="0" w:color="auto"/>
              <w:left w:val="nil"/>
              <w:bottom w:val="single" w:sz="4" w:space="0" w:color="auto"/>
              <w:right w:val="single" w:sz="4" w:space="0" w:color="auto"/>
            </w:tcBorders>
            <w:shd w:val="clear" w:color="000000" w:fill="E7E6E6"/>
            <w:vAlign w:val="center"/>
            <w:hideMark/>
          </w:tcPr>
          <w:p w14:paraId="74AABCFA" w14:textId="77777777" w:rsidR="009D7722" w:rsidRPr="00006A56" w:rsidRDefault="009D7722" w:rsidP="009D7722">
            <w:pPr>
              <w:spacing w:after="0" w:line="240" w:lineRule="auto"/>
              <w:rPr>
                <w:rFonts w:eastAsia="Times New Roman" w:cs="Times New Roman"/>
                <w:b/>
                <w:bCs/>
                <w:color w:val="000000"/>
                <w:sz w:val="20"/>
                <w:szCs w:val="20"/>
              </w:rPr>
            </w:pPr>
            <w:r w:rsidRPr="00006A56">
              <w:rPr>
                <w:rFonts w:eastAsia="Times New Roman" w:cs="Times New Roman"/>
                <w:b/>
                <w:bCs/>
                <w:color w:val="000000"/>
                <w:sz w:val="20"/>
                <w:szCs w:val="20"/>
              </w:rPr>
              <w:t>Multilingual speaker?</w:t>
            </w:r>
          </w:p>
        </w:tc>
        <w:tc>
          <w:tcPr>
            <w:tcW w:w="995" w:type="dxa"/>
            <w:tcBorders>
              <w:top w:val="single" w:sz="4" w:space="0" w:color="auto"/>
              <w:left w:val="nil"/>
              <w:bottom w:val="single" w:sz="4" w:space="0" w:color="auto"/>
              <w:right w:val="single" w:sz="4" w:space="0" w:color="auto"/>
            </w:tcBorders>
            <w:shd w:val="clear" w:color="000000" w:fill="E7E6E6"/>
            <w:vAlign w:val="center"/>
            <w:hideMark/>
          </w:tcPr>
          <w:p w14:paraId="5520B981" w14:textId="77777777" w:rsidR="009D7722" w:rsidRPr="00006A56" w:rsidRDefault="009D7722" w:rsidP="009D7722">
            <w:pPr>
              <w:spacing w:after="0" w:line="240" w:lineRule="auto"/>
              <w:rPr>
                <w:rFonts w:eastAsia="Times New Roman" w:cs="Times New Roman"/>
                <w:b/>
                <w:bCs/>
                <w:color w:val="000000"/>
                <w:sz w:val="20"/>
                <w:szCs w:val="20"/>
              </w:rPr>
            </w:pPr>
            <w:r w:rsidRPr="00006A56">
              <w:rPr>
                <w:rFonts w:eastAsia="Times New Roman" w:cs="Times New Roman"/>
                <w:b/>
                <w:bCs/>
                <w:color w:val="000000"/>
                <w:sz w:val="20"/>
                <w:szCs w:val="20"/>
              </w:rPr>
              <w:t>West Texas resident?</w:t>
            </w:r>
          </w:p>
        </w:tc>
        <w:tc>
          <w:tcPr>
            <w:tcW w:w="1123" w:type="dxa"/>
            <w:tcBorders>
              <w:top w:val="single" w:sz="4" w:space="0" w:color="auto"/>
              <w:left w:val="nil"/>
              <w:bottom w:val="single" w:sz="4" w:space="0" w:color="auto"/>
              <w:right w:val="single" w:sz="4" w:space="0" w:color="auto"/>
            </w:tcBorders>
            <w:shd w:val="clear" w:color="000000" w:fill="E7E6E6"/>
            <w:vAlign w:val="center"/>
            <w:hideMark/>
          </w:tcPr>
          <w:p w14:paraId="63797F46" w14:textId="7E733A34" w:rsidR="009D7722" w:rsidRPr="00006A56" w:rsidRDefault="009D7722" w:rsidP="009D7722">
            <w:pPr>
              <w:spacing w:after="0" w:line="240" w:lineRule="auto"/>
              <w:rPr>
                <w:rFonts w:eastAsia="Times New Roman" w:cs="Times New Roman"/>
                <w:b/>
                <w:bCs/>
                <w:color w:val="000000"/>
                <w:sz w:val="20"/>
                <w:szCs w:val="20"/>
              </w:rPr>
            </w:pPr>
            <w:r w:rsidRPr="00006A56">
              <w:rPr>
                <w:rFonts w:eastAsia="Times New Roman" w:cs="Times New Roman"/>
                <w:b/>
                <w:bCs/>
                <w:color w:val="000000"/>
                <w:sz w:val="20"/>
                <w:szCs w:val="20"/>
              </w:rPr>
              <w:t>1st generation college graduate?</w:t>
            </w:r>
          </w:p>
        </w:tc>
        <w:tc>
          <w:tcPr>
            <w:tcW w:w="950" w:type="dxa"/>
            <w:tcBorders>
              <w:top w:val="single" w:sz="4" w:space="0" w:color="auto"/>
              <w:left w:val="nil"/>
              <w:bottom w:val="single" w:sz="4" w:space="0" w:color="auto"/>
              <w:right w:val="single" w:sz="4" w:space="0" w:color="auto"/>
            </w:tcBorders>
            <w:shd w:val="clear" w:color="000000" w:fill="E7E6E6"/>
            <w:vAlign w:val="center"/>
            <w:hideMark/>
          </w:tcPr>
          <w:p w14:paraId="47149278" w14:textId="77777777" w:rsidR="009D7722" w:rsidRPr="00006A56" w:rsidRDefault="009D7722" w:rsidP="009D7722">
            <w:pPr>
              <w:spacing w:after="0" w:line="240" w:lineRule="auto"/>
              <w:rPr>
                <w:rFonts w:eastAsia="Times New Roman" w:cs="Times New Roman"/>
                <w:b/>
                <w:bCs/>
                <w:color w:val="000000"/>
                <w:sz w:val="20"/>
                <w:szCs w:val="20"/>
              </w:rPr>
            </w:pPr>
            <w:r w:rsidRPr="00006A56">
              <w:rPr>
                <w:rFonts w:eastAsia="Times New Roman" w:cs="Times New Roman"/>
                <w:b/>
                <w:bCs/>
                <w:color w:val="000000"/>
                <w:sz w:val="20"/>
                <w:szCs w:val="20"/>
              </w:rPr>
              <w:t xml:space="preserve">TTUHSC Clinical student? </w:t>
            </w:r>
          </w:p>
        </w:tc>
        <w:tc>
          <w:tcPr>
            <w:tcW w:w="937" w:type="dxa"/>
            <w:tcBorders>
              <w:top w:val="single" w:sz="4" w:space="0" w:color="auto"/>
              <w:left w:val="nil"/>
              <w:bottom w:val="single" w:sz="4" w:space="0" w:color="auto"/>
              <w:right w:val="single" w:sz="4" w:space="0" w:color="auto"/>
            </w:tcBorders>
            <w:shd w:val="clear" w:color="000000" w:fill="E7E6E6"/>
            <w:vAlign w:val="center"/>
            <w:hideMark/>
          </w:tcPr>
          <w:p w14:paraId="7B43F0F6" w14:textId="77777777" w:rsidR="009D7722" w:rsidRPr="00006A56" w:rsidRDefault="009D7722" w:rsidP="009D7722">
            <w:pPr>
              <w:spacing w:after="0" w:line="240" w:lineRule="auto"/>
              <w:rPr>
                <w:rFonts w:eastAsia="Times New Roman" w:cs="Times New Roman"/>
                <w:b/>
                <w:bCs/>
                <w:color w:val="000000"/>
                <w:sz w:val="20"/>
                <w:szCs w:val="20"/>
              </w:rPr>
            </w:pPr>
            <w:r w:rsidRPr="00006A56">
              <w:rPr>
                <w:rFonts w:eastAsia="Times New Roman" w:cs="Times New Roman"/>
                <w:b/>
                <w:bCs/>
                <w:color w:val="000000"/>
                <w:sz w:val="20"/>
                <w:szCs w:val="20"/>
              </w:rPr>
              <w:t>Public Health Worker?</w:t>
            </w:r>
          </w:p>
        </w:tc>
        <w:tc>
          <w:tcPr>
            <w:tcW w:w="1149" w:type="dxa"/>
            <w:tcBorders>
              <w:top w:val="single" w:sz="4" w:space="0" w:color="auto"/>
              <w:left w:val="nil"/>
              <w:bottom w:val="single" w:sz="4" w:space="0" w:color="auto"/>
              <w:right w:val="single" w:sz="4" w:space="0" w:color="auto"/>
            </w:tcBorders>
            <w:shd w:val="clear" w:color="000000" w:fill="E7E6E6"/>
            <w:vAlign w:val="center"/>
            <w:hideMark/>
          </w:tcPr>
          <w:p w14:paraId="788018BB" w14:textId="77777777" w:rsidR="009D7722" w:rsidRPr="00006A56" w:rsidRDefault="009D7722" w:rsidP="009D7722">
            <w:pPr>
              <w:spacing w:after="0" w:line="240" w:lineRule="auto"/>
              <w:rPr>
                <w:rFonts w:eastAsia="Times New Roman" w:cs="Times New Roman"/>
                <w:b/>
                <w:bCs/>
                <w:color w:val="000000"/>
                <w:sz w:val="20"/>
                <w:szCs w:val="20"/>
              </w:rPr>
            </w:pPr>
            <w:r w:rsidRPr="00006A56">
              <w:rPr>
                <w:rFonts w:eastAsia="Times New Roman" w:cs="Times New Roman"/>
                <w:b/>
                <w:bCs/>
                <w:color w:val="000000"/>
                <w:sz w:val="20"/>
                <w:szCs w:val="20"/>
              </w:rPr>
              <w:t>Statement Rating</w:t>
            </w:r>
          </w:p>
        </w:tc>
        <w:tc>
          <w:tcPr>
            <w:tcW w:w="1149" w:type="dxa"/>
            <w:tcBorders>
              <w:top w:val="single" w:sz="4" w:space="0" w:color="auto"/>
              <w:left w:val="nil"/>
              <w:bottom w:val="single" w:sz="4" w:space="0" w:color="auto"/>
              <w:right w:val="single" w:sz="4" w:space="0" w:color="auto"/>
            </w:tcBorders>
            <w:shd w:val="clear" w:color="000000" w:fill="E7E6E6"/>
            <w:vAlign w:val="center"/>
            <w:hideMark/>
          </w:tcPr>
          <w:p w14:paraId="6541B870" w14:textId="77777777" w:rsidR="009D7722" w:rsidRPr="00006A56" w:rsidRDefault="009D7722" w:rsidP="009D7722">
            <w:pPr>
              <w:spacing w:after="0" w:line="240" w:lineRule="auto"/>
              <w:rPr>
                <w:rFonts w:eastAsia="Times New Roman" w:cs="Times New Roman"/>
                <w:b/>
                <w:bCs/>
                <w:color w:val="000000"/>
                <w:sz w:val="20"/>
                <w:szCs w:val="20"/>
              </w:rPr>
            </w:pPr>
            <w:r w:rsidRPr="00006A56">
              <w:rPr>
                <w:rFonts w:eastAsia="Times New Roman" w:cs="Times New Roman"/>
                <w:b/>
                <w:bCs/>
                <w:color w:val="000000"/>
                <w:sz w:val="20"/>
                <w:szCs w:val="20"/>
              </w:rPr>
              <w:t>Letter Rating</w:t>
            </w:r>
          </w:p>
        </w:tc>
      </w:tr>
      <w:tr w:rsidR="009D7722" w:rsidRPr="00006A56" w14:paraId="21AD6914" w14:textId="77777777" w:rsidTr="009D7722">
        <w:trPr>
          <w:trHeight w:val="394"/>
        </w:trPr>
        <w:tc>
          <w:tcPr>
            <w:tcW w:w="1130" w:type="dxa"/>
            <w:tcBorders>
              <w:top w:val="nil"/>
              <w:left w:val="single" w:sz="4" w:space="0" w:color="auto"/>
              <w:bottom w:val="single" w:sz="4" w:space="0" w:color="auto"/>
              <w:right w:val="single" w:sz="4" w:space="0" w:color="auto"/>
            </w:tcBorders>
            <w:shd w:val="clear" w:color="000000" w:fill="E7E6E6"/>
            <w:vAlign w:val="center"/>
            <w:hideMark/>
          </w:tcPr>
          <w:p w14:paraId="7B78E4C3" w14:textId="77777777" w:rsidR="009D7722" w:rsidRPr="00006A56" w:rsidRDefault="009D7722" w:rsidP="00006A56">
            <w:pPr>
              <w:spacing w:after="0" w:line="240" w:lineRule="auto"/>
              <w:rPr>
                <w:rFonts w:eastAsia="Times New Roman" w:cs="Times New Roman"/>
                <w:b/>
                <w:bCs/>
                <w:color w:val="000000"/>
                <w:sz w:val="20"/>
                <w:szCs w:val="20"/>
              </w:rPr>
            </w:pPr>
            <w:r w:rsidRPr="00006A56">
              <w:rPr>
                <w:rFonts w:eastAsia="Times New Roman" w:cs="Times New Roman"/>
                <w:b/>
                <w:bCs/>
                <w:color w:val="000000"/>
                <w:sz w:val="20"/>
                <w:szCs w:val="20"/>
              </w:rPr>
              <w:t>Scale Range</w:t>
            </w:r>
          </w:p>
        </w:tc>
        <w:tc>
          <w:tcPr>
            <w:tcW w:w="1183" w:type="dxa"/>
            <w:tcBorders>
              <w:top w:val="nil"/>
              <w:left w:val="nil"/>
              <w:bottom w:val="single" w:sz="4" w:space="0" w:color="auto"/>
              <w:right w:val="single" w:sz="4" w:space="0" w:color="auto"/>
            </w:tcBorders>
            <w:shd w:val="clear" w:color="auto" w:fill="auto"/>
            <w:vAlign w:val="center"/>
            <w:hideMark/>
          </w:tcPr>
          <w:p w14:paraId="67ECFE6E" w14:textId="77777777" w:rsidR="009D7722" w:rsidRPr="00006A56" w:rsidRDefault="009D7722" w:rsidP="00006A56">
            <w:pPr>
              <w:spacing w:after="0" w:line="240" w:lineRule="auto"/>
              <w:jc w:val="center"/>
              <w:rPr>
                <w:rFonts w:eastAsia="Times New Roman" w:cs="Times New Roman"/>
                <w:color w:val="000000"/>
                <w:sz w:val="20"/>
                <w:szCs w:val="20"/>
              </w:rPr>
            </w:pPr>
            <w:r w:rsidRPr="00006A56">
              <w:rPr>
                <w:rFonts w:eastAsia="Times New Roman" w:cs="Times New Roman"/>
                <w:color w:val="000000"/>
                <w:sz w:val="20"/>
                <w:szCs w:val="20"/>
              </w:rPr>
              <w:t>Y/N</w:t>
            </w:r>
          </w:p>
        </w:tc>
        <w:tc>
          <w:tcPr>
            <w:tcW w:w="965" w:type="dxa"/>
            <w:tcBorders>
              <w:top w:val="nil"/>
              <w:left w:val="nil"/>
              <w:bottom w:val="single" w:sz="4" w:space="0" w:color="auto"/>
              <w:right w:val="single" w:sz="4" w:space="0" w:color="auto"/>
            </w:tcBorders>
            <w:shd w:val="clear" w:color="auto" w:fill="auto"/>
            <w:vAlign w:val="center"/>
            <w:hideMark/>
          </w:tcPr>
          <w:p w14:paraId="09E9A9E4" w14:textId="77777777" w:rsidR="009D7722" w:rsidRPr="00006A56" w:rsidRDefault="009D7722" w:rsidP="00006A56">
            <w:pPr>
              <w:spacing w:after="0" w:line="240" w:lineRule="auto"/>
              <w:jc w:val="center"/>
              <w:rPr>
                <w:rFonts w:eastAsia="Times New Roman" w:cs="Times New Roman"/>
                <w:color w:val="000000"/>
                <w:sz w:val="20"/>
                <w:szCs w:val="20"/>
              </w:rPr>
            </w:pPr>
            <w:r w:rsidRPr="00006A56">
              <w:rPr>
                <w:rFonts w:eastAsia="Times New Roman" w:cs="Times New Roman"/>
                <w:color w:val="000000"/>
                <w:sz w:val="20"/>
                <w:szCs w:val="20"/>
              </w:rPr>
              <w:t>Y/N</w:t>
            </w:r>
          </w:p>
        </w:tc>
        <w:tc>
          <w:tcPr>
            <w:tcW w:w="887" w:type="dxa"/>
            <w:tcBorders>
              <w:top w:val="nil"/>
              <w:left w:val="nil"/>
              <w:bottom w:val="single" w:sz="4" w:space="0" w:color="auto"/>
              <w:right w:val="single" w:sz="4" w:space="0" w:color="auto"/>
            </w:tcBorders>
            <w:shd w:val="clear" w:color="auto" w:fill="auto"/>
            <w:vAlign w:val="center"/>
            <w:hideMark/>
          </w:tcPr>
          <w:p w14:paraId="642740D4" w14:textId="77777777" w:rsidR="009D7722" w:rsidRPr="00006A56" w:rsidRDefault="009D7722" w:rsidP="00006A56">
            <w:pPr>
              <w:spacing w:after="0" w:line="240" w:lineRule="auto"/>
              <w:jc w:val="center"/>
              <w:rPr>
                <w:rFonts w:eastAsia="Times New Roman" w:cs="Times New Roman"/>
                <w:color w:val="000000"/>
                <w:sz w:val="20"/>
                <w:szCs w:val="20"/>
              </w:rPr>
            </w:pPr>
            <w:r w:rsidRPr="00006A56">
              <w:rPr>
                <w:rFonts w:eastAsia="Times New Roman" w:cs="Times New Roman"/>
                <w:color w:val="000000"/>
                <w:sz w:val="20"/>
                <w:szCs w:val="20"/>
              </w:rPr>
              <w:t>Y/N</w:t>
            </w:r>
          </w:p>
        </w:tc>
        <w:tc>
          <w:tcPr>
            <w:tcW w:w="1198" w:type="dxa"/>
            <w:tcBorders>
              <w:top w:val="nil"/>
              <w:left w:val="nil"/>
              <w:bottom w:val="single" w:sz="4" w:space="0" w:color="auto"/>
              <w:right w:val="single" w:sz="4" w:space="0" w:color="auto"/>
            </w:tcBorders>
            <w:shd w:val="clear" w:color="auto" w:fill="auto"/>
            <w:vAlign w:val="center"/>
            <w:hideMark/>
          </w:tcPr>
          <w:p w14:paraId="50EEFD46" w14:textId="77777777" w:rsidR="009D7722" w:rsidRPr="00006A56" w:rsidRDefault="009D7722" w:rsidP="009D7722">
            <w:pPr>
              <w:spacing w:after="0" w:line="240" w:lineRule="auto"/>
              <w:jc w:val="center"/>
              <w:rPr>
                <w:rFonts w:eastAsia="Times New Roman" w:cs="Times New Roman"/>
                <w:color w:val="000000"/>
                <w:sz w:val="20"/>
                <w:szCs w:val="20"/>
              </w:rPr>
            </w:pPr>
            <w:r w:rsidRPr="00006A56">
              <w:rPr>
                <w:rFonts w:eastAsia="Times New Roman" w:cs="Times New Roman"/>
                <w:color w:val="000000"/>
                <w:sz w:val="20"/>
                <w:szCs w:val="20"/>
              </w:rPr>
              <w:t>0-1</w:t>
            </w:r>
          </w:p>
        </w:tc>
        <w:tc>
          <w:tcPr>
            <w:tcW w:w="1463" w:type="dxa"/>
            <w:tcBorders>
              <w:top w:val="nil"/>
              <w:left w:val="nil"/>
              <w:bottom w:val="single" w:sz="4" w:space="0" w:color="auto"/>
              <w:right w:val="single" w:sz="4" w:space="0" w:color="auto"/>
            </w:tcBorders>
            <w:shd w:val="clear" w:color="auto" w:fill="auto"/>
            <w:vAlign w:val="center"/>
            <w:hideMark/>
          </w:tcPr>
          <w:p w14:paraId="7B7754B9" w14:textId="77777777" w:rsidR="009D7722" w:rsidRPr="00006A56" w:rsidRDefault="009D7722" w:rsidP="009D7722">
            <w:pPr>
              <w:spacing w:after="0" w:line="240" w:lineRule="auto"/>
              <w:jc w:val="center"/>
              <w:rPr>
                <w:rFonts w:eastAsia="Times New Roman" w:cs="Times New Roman"/>
                <w:color w:val="000000"/>
                <w:sz w:val="20"/>
                <w:szCs w:val="20"/>
              </w:rPr>
            </w:pPr>
            <w:r w:rsidRPr="00006A56">
              <w:rPr>
                <w:rFonts w:eastAsia="Times New Roman" w:cs="Times New Roman"/>
                <w:color w:val="000000"/>
                <w:sz w:val="20"/>
                <w:szCs w:val="20"/>
              </w:rPr>
              <w:t>0-4</w:t>
            </w:r>
          </w:p>
        </w:tc>
        <w:tc>
          <w:tcPr>
            <w:tcW w:w="1222" w:type="dxa"/>
            <w:tcBorders>
              <w:top w:val="nil"/>
              <w:left w:val="nil"/>
              <w:bottom w:val="single" w:sz="4" w:space="0" w:color="auto"/>
              <w:right w:val="single" w:sz="4" w:space="0" w:color="auto"/>
            </w:tcBorders>
            <w:shd w:val="clear" w:color="auto" w:fill="auto"/>
            <w:vAlign w:val="center"/>
            <w:hideMark/>
          </w:tcPr>
          <w:p w14:paraId="2BFA256F" w14:textId="77777777" w:rsidR="009D7722" w:rsidRPr="00006A56" w:rsidRDefault="009D7722" w:rsidP="009D7722">
            <w:pPr>
              <w:spacing w:after="0" w:line="240" w:lineRule="auto"/>
              <w:jc w:val="center"/>
              <w:rPr>
                <w:rFonts w:eastAsia="Times New Roman" w:cs="Times New Roman"/>
                <w:color w:val="000000"/>
                <w:sz w:val="20"/>
                <w:szCs w:val="20"/>
              </w:rPr>
            </w:pPr>
            <w:r w:rsidRPr="00006A56">
              <w:rPr>
                <w:rFonts w:eastAsia="Times New Roman" w:cs="Times New Roman"/>
                <w:color w:val="000000"/>
                <w:sz w:val="20"/>
                <w:szCs w:val="20"/>
              </w:rPr>
              <w:t>0-1</w:t>
            </w:r>
          </w:p>
        </w:tc>
        <w:tc>
          <w:tcPr>
            <w:tcW w:w="995" w:type="dxa"/>
            <w:tcBorders>
              <w:top w:val="nil"/>
              <w:left w:val="nil"/>
              <w:bottom w:val="single" w:sz="4" w:space="0" w:color="auto"/>
              <w:right w:val="single" w:sz="4" w:space="0" w:color="auto"/>
            </w:tcBorders>
            <w:shd w:val="clear" w:color="auto" w:fill="auto"/>
            <w:vAlign w:val="center"/>
            <w:hideMark/>
          </w:tcPr>
          <w:p w14:paraId="367AE047" w14:textId="77777777" w:rsidR="009D7722" w:rsidRPr="00006A56" w:rsidRDefault="009D7722" w:rsidP="009D7722">
            <w:pPr>
              <w:spacing w:after="0" w:line="240" w:lineRule="auto"/>
              <w:jc w:val="center"/>
              <w:rPr>
                <w:rFonts w:eastAsia="Times New Roman" w:cs="Times New Roman"/>
                <w:color w:val="000000"/>
                <w:sz w:val="20"/>
                <w:szCs w:val="20"/>
              </w:rPr>
            </w:pPr>
            <w:r w:rsidRPr="00006A56">
              <w:rPr>
                <w:rFonts w:eastAsia="Times New Roman" w:cs="Times New Roman"/>
                <w:color w:val="000000"/>
                <w:sz w:val="20"/>
                <w:szCs w:val="20"/>
              </w:rPr>
              <w:t>0-1</w:t>
            </w:r>
          </w:p>
        </w:tc>
        <w:tc>
          <w:tcPr>
            <w:tcW w:w="1123" w:type="dxa"/>
            <w:tcBorders>
              <w:top w:val="nil"/>
              <w:left w:val="nil"/>
              <w:bottom w:val="single" w:sz="4" w:space="0" w:color="auto"/>
              <w:right w:val="single" w:sz="4" w:space="0" w:color="auto"/>
            </w:tcBorders>
            <w:shd w:val="clear" w:color="auto" w:fill="auto"/>
            <w:vAlign w:val="center"/>
            <w:hideMark/>
          </w:tcPr>
          <w:p w14:paraId="22FACC2D" w14:textId="77777777" w:rsidR="009D7722" w:rsidRPr="00006A56" w:rsidRDefault="009D7722" w:rsidP="009D7722">
            <w:pPr>
              <w:spacing w:after="0" w:line="240" w:lineRule="auto"/>
              <w:jc w:val="center"/>
              <w:rPr>
                <w:rFonts w:eastAsia="Times New Roman" w:cs="Times New Roman"/>
                <w:color w:val="000000"/>
                <w:sz w:val="20"/>
                <w:szCs w:val="20"/>
              </w:rPr>
            </w:pPr>
            <w:r w:rsidRPr="00006A56">
              <w:rPr>
                <w:rFonts w:eastAsia="Times New Roman" w:cs="Times New Roman"/>
                <w:color w:val="000000"/>
                <w:sz w:val="20"/>
                <w:szCs w:val="20"/>
              </w:rPr>
              <w:t>0-1</w:t>
            </w:r>
          </w:p>
        </w:tc>
        <w:tc>
          <w:tcPr>
            <w:tcW w:w="950" w:type="dxa"/>
            <w:tcBorders>
              <w:top w:val="nil"/>
              <w:left w:val="nil"/>
              <w:bottom w:val="single" w:sz="4" w:space="0" w:color="auto"/>
              <w:right w:val="single" w:sz="4" w:space="0" w:color="auto"/>
            </w:tcBorders>
            <w:shd w:val="clear" w:color="auto" w:fill="auto"/>
            <w:vAlign w:val="center"/>
            <w:hideMark/>
          </w:tcPr>
          <w:p w14:paraId="0A779FA9" w14:textId="77777777" w:rsidR="009D7722" w:rsidRPr="00006A56" w:rsidRDefault="009D7722" w:rsidP="009D7722">
            <w:pPr>
              <w:spacing w:after="0" w:line="240" w:lineRule="auto"/>
              <w:jc w:val="center"/>
              <w:rPr>
                <w:rFonts w:eastAsia="Times New Roman" w:cs="Times New Roman"/>
                <w:color w:val="000000"/>
                <w:sz w:val="20"/>
                <w:szCs w:val="20"/>
              </w:rPr>
            </w:pPr>
            <w:r w:rsidRPr="00006A56">
              <w:rPr>
                <w:rFonts w:eastAsia="Times New Roman" w:cs="Times New Roman"/>
                <w:color w:val="000000"/>
                <w:sz w:val="20"/>
                <w:szCs w:val="20"/>
              </w:rPr>
              <w:t>0-1</w:t>
            </w:r>
          </w:p>
        </w:tc>
        <w:tc>
          <w:tcPr>
            <w:tcW w:w="937" w:type="dxa"/>
            <w:tcBorders>
              <w:top w:val="nil"/>
              <w:left w:val="nil"/>
              <w:bottom w:val="single" w:sz="4" w:space="0" w:color="auto"/>
              <w:right w:val="single" w:sz="4" w:space="0" w:color="auto"/>
            </w:tcBorders>
            <w:shd w:val="clear" w:color="auto" w:fill="auto"/>
            <w:vAlign w:val="center"/>
            <w:hideMark/>
          </w:tcPr>
          <w:p w14:paraId="2A34CA8C" w14:textId="77777777" w:rsidR="009D7722" w:rsidRPr="00006A56" w:rsidRDefault="009D7722" w:rsidP="009D7722">
            <w:pPr>
              <w:spacing w:after="0" w:line="240" w:lineRule="auto"/>
              <w:jc w:val="center"/>
              <w:rPr>
                <w:rFonts w:eastAsia="Times New Roman" w:cs="Times New Roman"/>
                <w:color w:val="000000"/>
                <w:sz w:val="20"/>
                <w:szCs w:val="20"/>
              </w:rPr>
            </w:pPr>
            <w:r w:rsidRPr="00006A56">
              <w:rPr>
                <w:rFonts w:eastAsia="Times New Roman" w:cs="Times New Roman"/>
                <w:color w:val="000000"/>
                <w:sz w:val="20"/>
                <w:szCs w:val="20"/>
              </w:rPr>
              <w:t>0-1</w:t>
            </w:r>
          </w:p>
        </w:tc>
        <w:tc>
          <w:tcPr>
            <w:tcW w:w="1149" w:type="dxa"/>
            <w:tcBorders>
              <w:top w:val="nil"/>
              <w:left w:val="nil"/>
              <w:bottom w:val="single" w:sz="4" w:space="0" w:color="auto"/>
              <w:right w:val="single" w:sz="4" w:space="0" w:color="auto"/>
            </w:tcBorders>
            <w:shd w:val="clear" w:color="auto" w:fill="auto"/>
            <w:vAlign w:val="center"/>
            <w:hideMark/>
          </w:tcPr>
          <w:p w14:paraId="464B2085" w14:textId="77777777" w:rsidR="009D7722" w:rsidRPr="00006A56" w:rsidRDefault="009D7722" w:rsidP="009D7722">
            <w:pPr>
              <w:spacing w:after="0" w:line="240" w:lineRule="auto"/>
              <w:jc w:val="center"/>
              <w:rPr>
                <w:rFonts w:eastAsia="Times New Roman" w:cs="Times New Roman"/>
                <w:color w:val="000000"/>
                <w:sz w:val="20"/>
                <w:szCs w:val="20"/>
              </w:rPr>
            </w:pPr>
            <w:r w:rsidRPr="00006A56">
              <w:rPr>
                <w:rFonts w:eastAsia="Times New Roman" w:cs="Times New Roman"/>
                <w:color w:val="000000"/>
                <w:sz w:val="20"/>
                <w:szCs w:val="20"/>
              </w:rPr>
              <w:t>0-5</w:t>
            </w:r>
          </w:p>
        </w:tc>
        <w:tc>
          <w:tcPr>
            <w:tcW w:w="1149" w:type="dxa"/>
            <w:tcBorders>
              <w:top w:val="nil"/>
              <w:left w:val="nil"/>
              <w:bottom w:val="single" w:sz="4" w:space="0" w:color="auto"/>
              <w:right w:val="single" w:sz="4" w:space="0" w:color="auto"/>
            </w:tcBorders>
            <w:shd w:val="clear" w:color="auto" w:fill="auto"/>
            <w:vAlign w:val="center"/>
            <w:hideMark/>
          </w:tcPr>
          <w:p w14:paraId="4B2B68FB" w14:textId="77777777" w:rsidR="009D7722" w:rsidRPr="00006A56" w:rsidRDefault="009D7722" w:rsidP="009D7722">
            <w:pPr>
              <w:spacing w:after="0" w:line="240" w:lineRule="auto"/>
              <w:jc w:val="center"/>
              <w:rPr>
                <w:rFonts w:eastAsia="Times New Roman" w:cs="Times New Roman"/>
                <w:color w:val="000000"/>
                <w:sz w:val="20"/>
                <w:szCs w:val="20"/>
              </w:rPr>
            </w:pPr>
            <w:r w:rsidRPr="00006A56">
              <w:rPr>
                <w:rFonts w:eastAsia="Times New Roman" w:cs="Times New Roman"/>
                <w:color w:val="000000"/>
                <w:sz w:val="20"/>
                <w:szCs w:val="20"/>
              </w:rPr>
              <w:t>0-5</w:t>
            </w:r>
          </w:p>
        </w:tc>
      </w:tr>
      <w:tr w:rsidR="009D7722" w:rsidRPr="00006A56" w14:paraId="400B1BDD" w14:textId="77777777" w:rsidTr="009D7722">
        <w:trPr>
          <w:trHeight w:val="330"/>
        </w:trPr>
        <w:tc>
          <w:tcPr>
            <w:tcW w:w="1130" w:type="dxa"/>
            <w:tcBorders>
              <w:top w:val="nil"/>
              <w:left w:val="single" w:sz="4" w:space="0" w:color="auto"/>
              <w:bottom w:val="single" w:sz="4" w:space="0" w:color="auto"/>
              <w:right w:val="single" w:sz="4" w:space="0" w:color="auto"/>
            </w:tcBorders>
            <w:shd w:val="clear" w:color="000000" w:fill="E7E6E6"/>
            <w:vAlign w:val="center"/>
            <w:hideMark/>
          </w:tcPr>
          <w:p w14:paraId="14A4F69D" w14:textId="2803C691" w:rsidR="009D7722" w:rsidRPr="00006A56" w:rsidRDefault="009D7722" w:rsidP="00006A56">
            <w:pPr>
              <w:spacing w:after="0" w:line="240" w:lineRule="auto"/>
              <w:rPr>
                <w:rFonts w:eastAsia="Times New Roman" w:cs="Times New Roman"/>
                <w:b/>
                <w:bCs/>
                <w:color w:val="000000"/>
                <w:sz w:val="20"/>
                <w:szCs w:val="20"/>
              </w:rPr>
            </w:pPr>
            <w:r w:rsidRPr="00006A56">
              <w:rPr>
                <w:rFonts w:eastAsia="Times New Roman" w:cs="Times New Roman"/>
                <w:b/>
                <w:bCs/>
                <w:color w:val="000000"/>
                <w:sz w:val="20"/>
                <w:szCs w:val="20"/>
              </w:rPr>
              <w:t>Scale</w:t>
            </w:r>
            <w:r>
              <w:rPr>
                <w:rFonts w:eastAsia="Times New Roman" w:cs="Times New Roman"/>
                <w:b/>
                <w:bCs/>
                <w:color w:val="000000"/>
                <w:sz w:val="20"/>
                <w:szCs w:val="20"/>
              </w:rPr>
              <w:t xml:space="preserve"> &amp; definitions</w:t>
            </w:r>
            <w:r w:rsidRPr="00006A56">
              <w:rPr>
                <w:rFonts w:eastAsia="Times New Roman" w:cs="Times New Roman"/>
                <w:b/>
                <w:bCs/>
                <w:color w:val="000000"/>
                <w:sz w:val="20"/>
                <w:szCs w:val="20"/>
              </w:rPr>
              <w:t xml:space="preserve"> </w:t>
            </w:r>
          </w:p>
        </w:tc>
        <w:tc>
          <w:tcPr>
            <w:tcW w:w="3035" w:type="dxa"/>
            <w:gridSpan w:val="3"/>
            <w:tcBorders>
              <w:top w:val="nil"/>
              <w:left w:val="nil"/>
              <w:bottom w:val="single" w:sz="4" w:space="0" w:color="auto"/>
              <w:right w:val="single" w:sz="4" w:space="0" w:color="auto"/>
            </w:tcBorders>
            <w:shd w:val="clear" w:color="auto" w:fill="BFBFBF" w:themeFill="background1" w:themeFillShade="BF"/>
            <w:vAlign w:val="center"/>
            <w:hideMark/>
          </w:tcPr>
          <w:p w14:paraId="0E5CF5DB" w14:textId="49D85E23" w:rsidR="009D7722" w:rsidRPr="00006A56" w:rsidRDefault="009D7722" w:rsidP="00006A56">
            <w:pPr>
              <w:spacing w:after="0" w:line="240" w:lineRule="auto"/>
              <w:jc w:val="center"/>
              <w:rPr>
                <w:rFonts w:eastAsia="Times New Roman" w:cs="Times New Roman"/>
                <w:color w:val="000000"/>
                <w:sz w:val="20"/>
                <w:szCs w:val="20"/>
              </w:rPr>
            </w:pPr>
            <w:r w:rsidRPr="00006A56">
              <w:rPr>
                <w:rFonts w:eastAsia="Times New Roman" w:cs="Times New Roman"/>
                <w:color w:val="000000"/>
                <w:sz w:val="20"/>
                <w:szCs w:val="20"/>
              </w:rPr>
              <w:t>If 'No</w:t>
            </w:r>
            <w:r w:rsidR="00FA721E">
              <w:rPr>
                <w:rFonts w:eastAsia="Times New Roman" w:cs="Times New Roman"/>
                <w:color w:val="000000"/>
                <w:sz w:val="20"/>
                <w:szCs w:val="20"/>
              </w:rPr>
              <w:t>,</w:t>
            </w:r>
            <w:r w:rsidRPr="00006A56">
              <w:rPr>
                <w:rFonts w:eastAsia="Times New Roman" w:cs="Times New Roman"/>
                <w:color w:val="000000"/>
                <w:sz w:val="20"/>
                <w:szCs w:val="20"/>
              </w:rPr>
              <w:t>' application is disqualified</w:t>
            </w:r>
          </w:p>
        </w:tc>
        <w:tc>
          <w:tcPr>
            <w:tcW w:w="1198" w:type="dxa"/>
            <w:tcBorders>
              <w:top w:val="nil"/>
              <w:left w:val="nil"/>
              <w:bottom w:val="single" w:sz="4" w:space="0" w:color="auto"/>
              <w:right w:val="single" w:sz="4" w:space="0" w:color="auto"/>
            </w:tcBorders>
            <w:shd w:val="clear" w:color="auto" w:fill="auto"/>
            <w:vAlign w:val="center"/>
            <w:hideMark/>
          </w:tcPr>
          <w:p w14:paraId="3398784B" w14:textId="77777777" w:rsidR="009D7722" w:rsidRDefault="009D7722" w:rsidP="009D7722">
            <w:pPr>
              <w:spacing w:after="0" w:line="240" w:lineRule="auto"/>
              <w:rPr>
                <w:rFonts w:eastAsia="Times New Roman" w:cs="Times New Roman"/>
                <w:color w:val="000000"/>
                <w:sz w:val="20"/>
                <w:szCs w:val="20"/>
                <w:lang w:val="es-ES"/>
              </w:rPr>
            </w:pPr>
            <w:r w:rsidRPr="00006A56">
              <w:rPr>
                <w:rFonts w:eastAsia="Times New Roman" w:cs="Times New Roman"/>
                <w:color w:val="000000"/>
                <w:sz w:val="20"/>
                <w:szCs w:val="20"/>
                <w:lang w:val="es-ES"/>
              </w:rPr>
              <w:t>0 = No Grad GPA</w:t>
            </w:r>
          </w:p>
          <w:p w14:paraId="1F507ED8" w14:textId="72048CBF" w:rsidR="009D7722" w:rsidRPr="00006A56" w:rsidRDefault="009D7722" w:rsidP="009D7722">
            <w:pPr>
              <w:spacing w:after="0" w:line="240" w:lineRule="auto"/>
              <w:rPr>
                <w:rFonts w:eastAsia="Times New Roman" w:cs="Times New Roman"/>
                <w:color w:val="000000"/>
                <w:sz w:val="20"/>
                <w:szCs w:val="20"/>
                <w:lang w:val="es-ES"/>
              </w:rPr>
            </w:pPr>
            <w:r w:rsidRPr="00006A56">
              <w:rPr>
                <w:rFonts w:eastAsia="Times New Roman" w:cs="Times New Roman"/>
                <w:color w:val="000000"/>
                <w:sz w:val="20"/>
                <w:szCs w:val="20"/>
                <w:lang w:val="es-ES"/>
              </w:rPr>
              <w:t xml:space="preserve"> 1 = Grad GPA</w:t>
            </w:r>
          </w:p>
        </w:tc>
        <w:tc>
          <w:tcPr>
            <w:tcW w:w="1463" w:type="dxa"/>
            <w:tcBorders>
              <w:top w:val="nil"/>
              <w:left w:val="nil"/>
              <w:bottom w:val="single" w:sz="4" w:space="0" w:color="auto"/>
              <w:right w:val="single" w:sz="4" w:space="0" w:color="auto"/>
            </w:tcBorders>
            <w:shd w:val="clear" w:color="auto" w:fill="auto"/>
            <w:vAlign w:val="center"/>
            <w:hideMark/>
          </w:tcPr>
          <w:p w14:paraId="04B06BF1" w14:textId="6202956A" w:rsidR="009D7722" w:rsidRDefault="009D7722" w:rsidP="009D7722">
            <w:pPr>
              <w:spacing w:after="0" w:line="240" w:lineRule="auto"/>
              <w:rPr>
                <w:rFonts w:eastAsia="Times New Roman" w:cs="Times New Roman"/>
                <w:color w:val="000000"/>
                <w:sz w:val="20"/>
                <w:szCs w:val="20"/>
              </w:rPr>
            </w:pPr>
            <w:r w:rsidRPr="00006A56">
              <w:rPr>
                <w:rFonts w:eastAsia="Times New Roman" w:cs="Times New Roman"/>
                <w:color w:val="000000"/>
                <w:sz w:val="20"/>
                <w:szCs w:val="20"/>
              </w:rPr>
              <w:t xml:space="preserve">0 </w:t>
            </w:r>
            <w:r>
              <w:rPr>
                <w:rFonts w:eastAsia="Times New Roman" w:cs="Times New Roman"/>
                <w:color w:val="000000"/>
                <w:sz w:val="20"/>
                <w:szCs w:val="20"/>
              </w:rPr>
              <w:t>–</w:t>
            </w:r>
            <w:r w:rsidRPr="00006A56">
              <w:rPr>
                <w:rFonts w:eastAsia="Times New Roman" w:cs="Times New Roman"/>
                <w:color w:val="000000"/>
                <w:sz w:val="20"/>
                <w:szCs w:val="20"/>
              </w:rPr>
              <w:t xml:space="preserve"> 4</w:t>
            </w:r>
            <w:r>
              <w:rPr>
                <w:rFonts w:eastAsia="Times New Roman" w:cs="Times New Roman"/>
                <w:color w:val="000000"/>
                <w:sz w:val="20"/>
                <w:szCs w:val="20"/>
              </w:rPr>
              <w:t xml:space="preserve"> (</w:t>
            </w:r>
            <w:r w:rsidRPr="00006A56">
              <w:rPr>
                <w:rFonts w:eastAsia="Times New Roman" w:cs="Times New Roman"/>
                <w:b/>
                <w:bCs/>
                <w:color w:val="000000"/>
                <w:sz w:val="20"/>
                <w:szCs w:val="20"/>
              </w:rPr>
              <w:t>0</w:t>
            </w:r>
            <w:r w:rsidRPr="00006A56">
              <w:rPr>
                <w:rFonts w:eastAsia="Times New Roman" w:cs="Times New Roman"/>
                <w:color w:val="000000"/>
                <w:sz w:val="20"/>
                <w:szCs w:val="20"/>
              </w:rPr>
              <w:t xml:space="preserve"> = &lt; 3.0                  </w:t>
            </w:r>
            <w:r w:rsidRPr="00006A56">
              <w:rPr>
                <w:rFonts w:eastAsia="Times New Roman" w:cs="Times New Roman"/>
                <w:b/>
                <w:bCs/>
                <w:color w:val="000000"/>
                <w:sz w:val="20"/>
                <w:szCs w:val="20"/>
              </w:rPr>
              <w:t xml:space="preserve">1 </w:t>
            </w:r>
            <w:r w:rsidRPr="00006A56">
              <w:rPr>
                <w:rFonts w:eastAsia="Times New Roman" w:cs="Times New Roman"/>
                <w:color w:val="000000"/>
                <w:sz w:val="20"/>
                <w:szCs w:val="20"/>
              </w:rPr>
              <w:t xml:space="preserve">= 3.0 - 3.25               </w:t>
            </w:r>
            <w:r w:rsidRPr="00006A56">
              <w:rPr>
                <w:rFonts w:eastAsia="Times New Roman" w:cs="Times New Roman"/>
                <w:b/>
                <w:bCs/>
                <w:color w:val="000000"/>
                <w:sz w:val="20"/>
                <w:szCs w:val="20"/>
              </w:rPr>
              <w:t xml:space="preserve">2 </w:t>
            </w:r>
            <w:r w:rsidRPr="00006A56">
              <w:rPr>
                <w:rFonts w:eastAsia="Times New Roman" w:cs="Times New Roman"/>
                <w:color w:val="000000"/>
                <w:sz w:val="20"/>
                <w:szCs w:val="20"/>
              </w:rPr>
              <w:t xml:space="preserve">= 3.26 -3.5 </w:t>
            </w:r>
            <w:r w:rsidRPr="00006A56">
              <w:rPr>
                <w:rFonts w:eastAsia="Times New Roman" w:cs="Times New Roman"/>
                <w:b/>
                <w:bCs/>
                <w:color w:val="000000"/>
                <w:sz w:val="20"/>
                <w:szCs w:val="20"/>
              </w:rPr>
              <w:t xml:space="preserve">   </w:t>
            </w:r>
            <w:r w:rsidRPr="00006A56">
              <w:rPr>
                <w:rFonts w:eastAsia="Times New Roman" w:cs="Times New Roman"/>
                <w:color w:val="000000"/>
                <w:sz w:val="20"/>
                <w:szCs w:val="20"/>
              </w:rPr>
              <w:t xml:space="preserve">          </w:t>
            </w:r>
            <w:r w:rsidRPr="00006A56">
              <w:rPr>
                <w:rFonts w:eastAsia="Times New Roman" w:cs="Times New Roman"/>
                <w:b/>
                <w:bCs/>
                <w:color w:val="000000"/>
                <w:sz w:val="20"/>
                <w:szCs w:val="20"/>
              </w:rPr>
              <w:t>3</w:t>
            </w:r>
            <w:r w:rsidRPr="00006A56">
              <w:rPr>
                <w:rFonts w:eastAsia="Times New Roman" w:cs="Times New Roman"/>
                <w:color w:val="000000"/>
                <w:sz w:val="20"/>
                <w:szCs w:val="20"/>
              </w:rPr>
              <w:t xml:space="preserve"> = 3.51 - 3.75          </w:t>
            </w:r>
            <w:r w:rsidRPr="00006A56">
              <w:rPr>
                <w:rFonts w:eastAsia="Times New Roman" w:cs="Times New Roman"/>
                <w:b/>
                <w:bCs/>
                <w:color w:val="000000"/>
                <w:sz w:val="20"/>
                <w:szCs w:val="20"/>
              </w:rPr>
              <w:t xml:space="preserve">4 = </w:t>
            </w:r>
            <w:r w:rsidRPr="00006A56">
              <w:rPr>
                <w:rFonts w:eastAsia="Times New Roman" w:cs="Times New Roman"/>
                <w:color w:val="000000"/>
                <w:sz w:val="20"/>
                <w:szCs w:val="20"/>
              </w:rPr>
              <w:t>3.76 - 4.0</w:t>
            </w:r>
          </w:p>
          <w:p w14:paraId="6E1EE55B" w14:textId="33E5746E" w:rsidR="009D7722" w:rsidRPr="00006A56" w:rsidRDefault="009D7722" w:rsidP="009D7722">
            <w:pPr>
              <w:spacing w:after="0" w:line="240" w:lineRule="auto"/>
              <w:rPr>
                <w:rFonts w:eastAsia="Times New Roman" w:cs="Times New Roman"/>
                <w:color w:val="000000"/>
                <w:sz w:val="20"/>
                <w:szCs w:val="20"/>
              </w:rPr>
            </w:pPr>
          </w:p>
        </w:tc>
        <w:tc>
          <w:tcPr>
            <w:tcW w:w="1222" w:type="dxa"/>
            <w:tcBorders>
              <w:top w:val="nil"/>
              <w:left w:val="nil"/>
              <w:bottom w:val="single" w:sz="4" w:space="0" w:color="auto"/>
              <w:right w:val="single" w:sz="4" w:space="0" w:color="auto"/>
            </w:tcBorders>
            <w:shd w:val="clear" w:color="auto" w:fill="auto"/>
            <w:vAlign w:val="center"/>
            <w:hideMark/>
          </w:tcPr>
          <w:p w14:paraId="3251B970" w14:textId="7D5BB921" w:rsidR="009D7722" w:rsidRPr="00006A56" w:rsidRDefault="009D7722" w:rsidP="009D7722">
            <w:pPr>
              <w:spacing w:after="0" w:line="240" w:lineRule="auto"/>
              <w:rPr>
                <w:rFonts w:eastAsia="Times New Roman" w:cs="Times New Roman"/>
                <w:color w:val="000000"/>
                <w:sz w:val="20"/>
                <w:szCs w:val="20"/>
              </w:rPr>
            </w:pPr>
            <w:r w:rsidRPr="00006A56">
              <w:rPr>
                <w:rFonts w:eastAsia="Times New Roman" w:cs="Times New Roman"/>
                <w:color w:val="000000"/>
                <w:sz w:val="20"/>
                <w:szCs w:val="20"/>
              </w:rPr>
              <w:t>No = 0</w:t>
            </w:r>
            <w:r>
              <w:rPr>
                <w:rFonts w:eastAsia="Times New Roman" w:cs="Times New Roman"/>
                <w:color w:val="000000"/>
                <w:sz w:val="20"/>
                <w:szCs w:val="20"/>
              </w:rPr>
              <w:t xml:space="preserve">     </w:t>
            </w:r>
            <w:r w:rsidRPr="00006A56">
              <w:rPr>
                <w:rFonts w:eastAsia="Times New Roman" w:cs="Times New Roman"/>
                <w:color w:val="000000"/>
                <w:sz w:val="20"/>
                <w:szCs w:val="20"/>
              </w:rPr>
              <w:t xml:space="preserve"> Yes = 1</w:t>
            </w:r>
          </w:p>
        </w:tc>
        <w:tc>
          <w:tcPr>
            <w:tcW w:w="995" w:type="dxa"/>
            <w:tcBorders>
              <w:top w:val="nil"/>
              <w:left w:val="nil"/>
              <w:bottom w:val="single" w:sz="4" w:space="0" w:color="auto"/>
              <w:right w:val="single" w:sz="4" w:space="0" w:color="auto"/>
            </w:tcBorders>
            <w:shd w:val="clear" w:color="auto" w:fill="auto"/>
            <w:vAlign w:val="center"/>
            <w:hideMark/>
          </w:tcPr>
          <w:p w14:paraId="5CA16E21" w14:textId="5F71D605" w:rsidR="009D7722" w:rsidRDefault="009D7722" w:rsidP="009D7722">
            <w:pPr>
              <w:spacing w:after="0" w:line="240" w:lineRule="auto"/>
              <w:rPr>
                <w:rFonts w:eastAsia="Times New Roman" w:cs="Times New Roman"/>
                <w:color w:val="000000"/>
                <w:sz w:val="20"/>
                <w:szCs w:val="20"/>
              </w:rPr>
            </w:pPr>
            <w:r w:rsidRPr="00006A56">
              <w:rPr>
                <w:rFonts w:eastAsia="Times New Roman" w:cs="Times New Roman"/>
                <w:color w:val="000000"/>
                <w:sz w:val="20"/>
                <w:szCs w:val="20"/>
              </w:rPr>
              <w:t>No</w:t>
            </w:r>
            <w:r>
              <w:rPr>
                <w:rFonts w:eastAsia="Times New Roman" w:cs="Times New Roman"/>
                <w:color w:val="000000"/>
                <w:sz w:val="20"/>
                <w:szCs w:val="20"/>
              </w:rPr>
              <w:t xml:space="preserve"> =</w:t>
            </w:r>
            <w:r w:rsidRPr="00006A56">
              <w:rPr>
                <w:rFonts w:eastAsia="Times New Roman" w:cs="Times New Roman"/>
                <w:color w:val="000000"/>
                <w:sz w:val="20"/>
                <w:szCs w:val="20"/>
              </w:rPr>
              <w:t xml:space="preserve"> 0</w:t>
            </w:r>
          </w:p>
          <w:p w14:paraId="0443CE64" w14:textId="18415B3B" w:rsidR="009D7722" w:rsidRPr="00006A56" w:rsidRDefault="009D7722" w:rsidP="009D7722">
            <w:pPr>
              <w:spacing w:after="0" w:line="240" w:lineRule="auto"/>
              <w:rPr>
                <w:rFonts w:eastAsia="Times New Roman" w:cs="Times New Roman"/>
                <w:color w:val="000000"/>
                <w:sz w:val="20"/>
                <w:szCs w:val="20"/>
              </w:rPr>
            </w:pPr>
            <w:r w:rsidRPr="00006A56">
              <w:rPr>
                <w:rFonts w:eastAsia="Times New Roman" w:cs="Times New Roman"/>
                <w:color w:val="000000"/>
                <w:sz w:val="20"/>
                <w:szCs w:val="20"/>
              </w:rPr>
              <w:t xml:space="preserve"> Yes</w:t>
            </w:r>
            <w:r>
              <w:rPr>
                <w:rFonts w:eastAsia="Times New Roman" w:cs="Times New Roman"/>
                <w:color w:val="000000"/>
                <w:sz w:val="20"/>
                <w:szCs w:val="20"/>
              </w:rPr>
              <w:t xml:space="preserve"> = </w:t>
            </w:r>
            <w:r w:rsidRPr="00006A56">
              <w:rPr>
                <w:rFonts w:eastAsia="Times New Roman" w:cs="Times New Roman"/>
                <w:color w:val="000000"/>
                <w:sz w:val="20"/>
                <w:szCs w:val="20"/>
              </w:rPr>
              <w:t>1</w:t>
            </w:r>
          </w:p>
        </w:tc>
        <w:tc>
          <w:tcPr>
            <w:tcW w:w="1123" w:type="dxa"/>
            <w:tcBorders>
              <w:top w:val="nil"/>
              <w:left w:val="nil"/>
              <w:bottom w:val="single" w:sz="4" w:space="0" w:color="auto"/>
              <w:right w:val="single" w:sz="4" w:space="0" w:color="auto"/>
            </w:tcBorders>
            <w:shd w:val="clear" w:color="auto" w:fill="auto"/>
            <w:vAlign w:val="center"/>
            <w:hideMark/>
          </w:tcPr>
          <w:p w14:paraId="4191DFC0" w14:textId="77777777" w:rsidR="009D7722" w:rsidRDefault="009D7722" w:rsidP="009D7722">
            <w:pPr>
              <w:spacing w:after="0" w:line="240" w:lineRule="auto"/>
              <w:rPr>
                <w:rFonts w:eastAsia="Times New Roman" w:cs="Times New Roman"/>
                <w:color w:val="000000"/>
                <w:sz w:val="20"/>
                <w:szCs w:val="20"/>
              </w:rPr>
            </w:pPr>
            <w:r w:rsidRPr="00006A56">
              <w:rPr>
                <w:rFonts w:eastAsia="Times New Roman" w:cs="Times New Roman"/>
                <w:color w:val="000000"/>
                <w:sz w:val="20"/>
                <w:szCs w:val="20"/>
              </w:rPr>
              <w:t>No = 0</w:t>
            </w:r>
          </w:p>
          <w:p w14:paraId="3851777E" w14:textId="3685AEDB" w:rsidR="009D7722" w:rsidRPr="00006A56" w:rsidRDefault="009D7722" w:rsidP="009D7722">
            <w:pPr>
              <w:spacing w:after="0" w:line="240" w:lineRule="auto"/>
              <w:rPr>
                <w:rFonts w:eastAsia="Times New Roman" w:cs="Times New Roman"/>
                <w:color w:val="000000"/>
                <w:sz w:val="20"/>
                <w:szCs w:val="20"/>
              </w:rPr>
            </w:pPr>
            <w:r w:rsidRPr="00006A56">
              <w:rPr>
                <w:rFonts w:eastAsia="Times New Roman" w:cs="Times New Roman"/>
                <w:color w:val="000000"/>
                <w:sz w:val="20"/>
                <w:szCs w:val="20"/>
              </w:rPr>
              <w:t xml:space="preserve"> Yes = 1</w:t>
            </w:r>
          </w:p>
        </w:tc>
        <w:tc>
          <w:tcPr>
            <w:tcW w:w="950" w:type="dxa"/>
            <w:tcBorders>
              <w:top w:val="nil"/>
              <w:left w:val="nil"/>
              <w:bottom w:val="single" w:sz="4" w:space="0" w:color="auto"/>
              <w:right w:val="single" w:sz="4" w:space="0" w:color="auto"/>
            </w:tcBorders>
            <w:shd w:val="clear" w:color="auto" w:fill="auto"/>
            <w:vAlign w:val="center"/>
            <w:hideMark/>
          </w:tcPr>
          <w:p w14:paraId="2861FA36" w14:textId="647EA66E" w:rsidR="009D7722" w:rsidRPr="00006A56" w:rsidRDefault="009D7722" w:rsidP="009D7722">
            <w:pPr>
              <w:spacing w:after="0" w:line="240" w:lineRule="auto"/>
              <w:rPr>
                <w:rFonts w:eastAsia="Times New Roman" w:cs="Times New Roman"/>
                <w:color w:val="000000"/>
                <w:sz w:val="20"/>
                <w:szCs w:val="20"/>
              </w:rPr>
            </w:pPr>
            <w:r w:rsidRPr="00006A56">
              <w:rPr>
                <w:rFonts w:eastAsia="Times New Roman" w:cs="Times New Roman"/>
                <w:color w:val="000000"/>
                <w:sz w:val="20"/>
                <w:szCs w:val="20"/>
              </w:rPr>
              <w:t>No = 0 Yes = 1</w:t>
            </w:r>
          </w:p>
        </w:tc>
        <w:tc>
          <w:tcPr>
            <w:tcW w:w="937" w:type="dxa"/>
            <w:tcBorders>
              <w:top w:val="nil"/>
              <w:left w:val="nil"/>
              <w:bottom w:val="single" w:sz="4" w:space="0" w:color="auto"/>
              <w:right w:val="single" w:sz="4" w:space="0" w:color="auto"/>
            </w:tcBorders>
            <w:shd w:val="clear" w:color="auto" w:fill="auto"/>
            <w:vAlign w:val="center"/>
            <w:hideMark/>
          </w:tcPr>
          <w:p w14:paraId="51C8B080" w14:textId="3F731387" w:rsidR="009D7722" w:rsidRPr="00006A56" w:rsidRDefault="009D7722" w:rsidP="009D7722">
            <w:pPr>
              <w:spacing w:after="0" w:line="240" w:lineRule="auto"/>
              <w:rPr>
                <w:rFonts w:eastAsia="Times New Roman" w:cs="Times New Roman"/>
                <w:color w:val="000000"/>
                <w:sz w:val="20"/>
                <w:szCs w:val="20"/>
              </w:rPr>
            </w:pPr>
            <w:r w:rsidRPr="00006A56">
              <w:rPr>
                <w:rFonts w:eastAsia="Times New Roman" w:cs="Times New Roman"/>
                <w:color w:val="000000"/>
                <w:sz w:val="20"/>
                <w:szCs w:val="20"/>
              </w:rPr>
              <w:t>No = 0 Yes = 1</w:t>
            </w:r>
          </w:p>
        </w:tc>
        <w:tc>
          <w:tcPr>
            <w:tcW w:w="1149" w:type="dxa"/>
            <w:tcBorders>
              <w:top w:val="nil"/>
              <w:left w:val="nil"/>
              <w:bottom w:val="single" w:sz="4" w:space="0" w:color="auto"/>
              <w:right w:val="single" w:sz="4" w:space="0" w:color="auto"/>
            </w:tcBorders>
            <w:shd w:val="clear" w:color="auto" w:fill="auto"/>
            <w:vAlign w:val="center"/>
            <w:hideMark/>
          </w:tcPr>
          <w:p w14:paraId="1B27F1E6" w14:textId="77777777" w:rsidR="009D7722" w:rsidRPr="00006A56" w:rsidRDefault="009D7722" w:rsidP="009D7722">
            <w:pPr>
              <w:spacing w:after="0" w:line="240" w:lineRule="auto"/>
              <w:rPr>
                <w:rFonts w:eastAsia="Times New Roman" w:cs="Times New Roman"/>
                <w:color w:val="000000"/>
                <w:sz w:val="20"/>
                <w:szCs w:val="20"/>
              </w:rPr>
            </w:pPr>
            <w:r w:rsidRPr="00006A56">
              <w:rPr>
                <w:rFonts w:eastAsia="Times New Roman" w:cs="Times New Roman"/>
                <w:color w:val="000000"/>
                <w:sz w:val="20"/>
                <w:szCs w:val="20"/>
              </w:rPr>
              <w:t>1=Poor; 2=Fair; 3=Good; 4=Very Good; 5=Excellent</w:t>
            </w:r>
          </w:p>
        </w:tc>
        <w:tc>
          <w:tcPr>
            <w:tcW w:w="1149" w:type="dxa"/>
            <w:tcBorders>
              <w:top w:val="nil"/>
              <w:left w:val="nil"/>
              <w:bottom w:val="single" w:sz="4" w:space="0" w:color="auto"/>
              <w:right w:val="single" w:sz="4" w:space="0" w:color="auto"/>
            </w:tcBorders>
            <w:shd w:val="clear" w:color="auto" w:fill="auto"/>
            <w:vAlign w:val="center"/>
            <w:hideMark/>
          </w:tcPr>
          <w:p w14:paraId="6677BE66" w14:textId="77777777" w:rsidR="009D7722" w:rsidRPr="00006A56" w:rsidRDefault="009D7722" w:rsidP="009D7722">
            <w:pPr>
              <w:spacing w:after="0" w:line="240" w:lineRule="auto"/>
              <w:rPr>
                <w:rFonts w:eastAsia="Times New Roman" w:cs="Times New Roman"/>
                <w:color w:val="000000"/>
                <w:sz w:val="20"/>
                <w:szCs w:val="20"/>
              </w:rPr>
            </w:pPr>
            <w:r w:rsidRPr="00006A56">
              <w:rPr>
                <w:rFonts w:eastAsia="Times New Roman" w:cs="Times New Roman"/>
                <w:color w:val="000000"/>
                <w:sz w:val="20"/>
                <w:szCs w:val="20"/>
              </w:rPr>
              <w:t>1=Poor; 2=Fair; 3=Good; 4=Very Good; 5=Excellent</w:t>
            </w:r>
          </w:p>
        </w:tc>
      </w:tr>
    </w:tbl>
    <w:p w14:paraId="7AEC3464" w14:textId="77777777" w:rsidR="00B62542" w:rsidRPr="00486FA1" w:rsidRDefault="00B62542" w:rsidP="00726947">
      <w:pPr>
        <w:autoSpaceDE w:val="0"/>
        <w:autoSpaceDN w:val="0"/>
        <w:adjustRightInd w:val="0"/>
        <w:spacing w:after="0" w:line="240" w:lineRule="auto"/>
        <w:jc w:val="both"/>
        <w:rPr>
          <w:rFonts w:ascii="Calibri" w:hAnsi="Calibri" w:cs="Calibri"/>
          <w:sz w:val="23"/>
          <w:szCs w:val="23"/>
        </w:rPr>
      </w:pPr>
    </w:p>
    <w:sectPr w:rsidR="00B62542" w:rsidRPr="00486FA1" w:rsidSect="00006A5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97A2" w14:textId="77777777" w:rsidR="000475EF" w:rsidRDefault="000475EF" w:rsidP="004A2FB2">
      <w:pPr>
        <w:spacing w:after="0" w:line="240" w:lineRule="auto"/>
      </w:pPr>
      <w:r>
        <w:separator/>
      </w:r>
    </w:p>
  </w:endnote>
  <w:endnote w:type="continuationSeparator" w:id="0">
    <w:p w14:paraId="37B97C84" w14:textId="77777777" w:rsidR="000475EF" w:rsidRDefault="000475EF" w:rsidP="004A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9AEA" w14:textId="77777777" w:rsidR="00E72683" w:rsidRDefault="00E72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E710" w14:textId="399B7045" w:rsidR="00486FA1" w:rsidRPr="00486FA1" w:rsidRDefault="00486FA1">
    <w:pPr>
      <w:pStyle w:val="Footer"/>
      <w:rPr>
        <w:sz w:val="12"/>
      </w:rPr>
    </w:pPr>
    <w:r w:rsidRPr="00486FA1">
      <w:rPr>
        <w:noProof/>
        <w:sz w:val="12"/>
      </w:rPr>
      <mc:AlternateContent>
        <mc:Choice Requires="wps">
          <w:drawing>
            <wp:anchor distT="0" distB="0" distL="0" distR="0" simplePos="0" relativeHeight="251661312" behindDoc="0" locked="0" layoutInCell="1" allowOverlap="1" wp14:anchorId="24341385" wp14:editId="3F8D1AEF">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26670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457200" cy="26670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510829" w14:textId="77777777" w:rsidR="00486FA1" w:rsidRPr="00486FA1" w:rsidRDefault="00486FA1">
                          <w:pPr>
                            <w:jc w:val="right"/>
                            <w:rPr>
                              <w:color w:val="FFFFFF" w:themeColor="background1"/>
                              <w:sz w:val="20"/>
                              <w:szCs w:val="28"/>
                            </w:rPr>
                          </w:pPr>
                          <w:r w:rsidRPr="00486FA1">
                            <w:rPr>
                              <w:color w:val="FFFFFF" w:themeColor="background1"/>
                              <w:sz w:val="20"/>
                              <w:szCs w:val="28"/>
                            </w:rPr>
                            <w:fldChar w:fldCharType="begin"/>
                          </w:r>
                          <w:r w:rsidRPr="00486FA1">
                            <w:rPr>
                              <w:color w:val="FFFFFF" w:themeColor="background1"/>
                              <w:sz w:val="20"/>
                              <w:szCs w:val="28"/>
                            </w:rPr>
                            <w:instrText xml:space="preserve"> PAGE   \* MERGEFORMAT </w:instrText>
                          </w:r>
                          <w:r w:rsidRPr="00486FA1">
                            <w:rPr>
                              <w:color w:val="FFFFFF" w:themeColor="background1"/>
                              <w:sz w:val="20"/>
                              <w:szCs w:val="28"/>
                            </w:rPr>
                            <w:fldChar w:fldCharType="separate"/>
                          </w:r>
                          <w:r w:rsidRPr="00486FA1">
                            <w:rPr>
                              <w:noProof/>
                              <w:color w:val="FFFFFF" w:themeColor="background1"/>
                              <w:sz w:val="20"/>
                              <w:szCs w:val="28"/>
                            </w:rPr>
                            <w:t>2</w:t>
                          </w:r>
                          <w:r w:rsidRPr="00486FA1">
                            <w:rPr>
                              <w:noProof/>
                              <w:color w:val="FFFFFF" w:themeColor="background1"/>
                              <w:sz w:val="20"/>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41385" id="Rectangle 40" o:spid="_x0000_s1026" style="position:absolute;margin-left:0;margin-top:0;width:36pt;height:21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zSnQIAAJgFAAAOAAAAZHJzL2Uyb0RvYy54bWysVE1v2zAMvQ/YfxB0Xx1n/VpQpwhadBhQ&#10;tEXboWdFlmIDkqhJSuzs14+SbKfrusuwHBTKJB/JJ5IXl71WZCecb8FUtDyaUSIMh7o1m4p+f775&#10;dE6JD8zUTIERFd0LTy+XHz9cdHYh5tCAqoUjCGL8orMVbUKwi6LwvBGa+SOwwqBSgtMs4NVtitqx&#10;DtG1Kuaz2WnRgautAy68x6/XWUmXCV9KwcO9lF4EoiqKuYV0unSu41ksL9hi45htWj6kwf4hC81a&#10;g0EnqGsWGNm69g8o3XIHHmQ44qALkLLlItWA1ZSzN9U8NcyKVAuS4+1Ek/9/sPxu9+BIW1f0GOkx&#10;TOMbPSJrzGyUIPgNCeqsX6Ddk31ww82jGKvtpdPxH+sgfSJ1P5Eq+kA4fjw+OcOHooSjan56eoYy&#10;ohQHZ+t8+CpAkyhU1GH0RCXb3fqQTUeTGMuDauubVql0iX0irpQjO4YvHPpyAP/NShnSVfTzeYmx&#10;o5eB6J+hlcFkYoW5piSFvRLRTplHIZEcrGKeHFNbHsIxzoUJZVY1rBY5i5MZ/sY8xgRTyQkwIkuM&#10;P2EPAKNlBhmxc5aDfXQVqasn51zRXxLLzpNHigwmTM66NeDeq0xhVUPkbD+SlKmJLIV+3aNJFNdQ&#10;77GLHOTx8pbftPiWt8yHB+ZwnvD5cUeEezykAnwLGCRKGnA/3/se7bHNUUtJh/NZUf9jy5ygRH0z&#10;OABfyuPYsSFdUo9R4l5r1q81ZquvABukxG1keRLR2QU1itKBfsFVsopRUcUMx9gVXY/iVchbA1cR&#10;F6tVMsIRtizcmifLI3SkN3bqc//CnB3aOeAc3ME4yWzxpquzbfQ0sNoGkG1q+QOrA/E4/qmDhlUV&#10;98vre7I6LNTlLwAAAP//AwBQSwMEFAAGAAgAAAAhAPnFy8zYAAAAAwEAAA8AAABkcnMvZG93bnJl&#10;di54bWxMj0FLw0AQhe+C/2EZwZvdWERjzKSIICJeYhXpcZudJtHd2ZDdpvHfO3qplxkeb3jzvXI1&#10;e6cmGmMfGOFykYEiboLtuUV4f3u8yEHFZNgaF5gQvinCqjo9KU1hw4FfaVqnVkkIx8IgdCkNhdax&#10;6cibuAgDsXi7MHqTRI6ttqM5SLh3epll19qbnuVDZwZ66Kj5Wu89An+kKY9P2u1u6yZ/rutN/vmy&#10;QTw/m+/vQCWa0/EYfvEFHSph2oY926gcghRJf1O8m6WoLcKVbF2V+j979QMAAP//AwBQSwECLQAU&#10;AAYACAAAACEAtoM4kv4AAADhAQAAEwAAAAAAAAAAAAAAAAAAAAAAW0NvbnRlbnRfVHlwZXNdLnht&#10;bFBLAQItABQABgAIAAAAIQA4/SH/1gAAAJQBAAALAAAAAAAAAAAAAAAAAC8BAABfcmVscy8ucmVs&#10;c1BLAQItABQABgAIAAAAIQApwgzSnQIAAJgFAAAOAAAAAAAAAAAAAAAAAC4CAABkcnMvZTJvRG9j&#10;LnhtbFBLAQItABQABgAIAAAAIQD5xcvM2AAAAAMBAAAPAAAAAAAAAAAAAAAAAPcEAABkcnMvZG93&#10;bnJldi54bWxQSwUGAAAAAAQABADzAAAA/AUAAAAA&#10;" fillcolor="black [3213]" stroked="f" strokeweight="3pt">
              <v:textbox>
                <w:txbxContent>
                  <w:p w14:paraId="2A510829" w14:textId="77777777" w:rsidR="00486FA1" w:rsidRPr="00486FA1" w:rsidRDefault="00486FA1">
                    <w:pPr>
                      <w:jc w:val="right"/>
                      <w:rPr>
                        <w:color w:val="FFFFFF" w:themeColor="background1"/>
                        <w:sz w:val="20"/>
                        <w:szCs w:val="28"/>
                      </w:rPr>
                    </w:pPr>
                    <w:r w:rsidRPr="00486FA1">
                      <w:rPr>
                        <w:color w:val="FFFFFF" w:themeColor="background1"/>
                        <w:sz w:val="20"/>
                        <w:szCs w:val="28"/>
                      </w:rPr>
                      <w:fldChar w:fldCharType="begin"/>
                    </w:r>
                    <w:r w:rsidRPr="00486FA1">
                      <w:rPr>
                        <w:color w:val="FFFFFF" w:themeColor="background1"/>
                        <w:sz w:val="20"/>
                        <w:szCs w:val="28"/>
                      </w:rPr>
                      <w:instrText xml:space="preserve"> PAGE   \* MERGEFORMAT </w:instrText>
                    </w:r>
                    <w:r w:rsidRPr="00486FA1">
                      <w:rPr>
                        <w:color w:val="FFFFFF" w:themeColor="background1"/>
                        <w:sz w:val="20"/>
                        <w:szCs w:val="28"/>
                      </w:rPr>
                      <w:fldChar w:fldCharType="separate"/>
                    </w:r>
                    <w:r w:rsidRPr="00486FA1">
                      <w:rPr>
                        <w:noProof/>
                        <w:color w:val="FFFFFF" w:themeColor="background1"/>
                        <w:sz w:val="20"/>
                        <w:szCs w:val="28"/>
                      </w:rPr>
                      <w:t>2</w:t>
                    </w:r>
                    <w:r w:rsidRPr="00486FA1">
                      <w:rPr>
                        <w:noProof/>
                        <w:color w:val="FFFFFF" w:themeColor="background1"/>
                        <w:sz w:val="20"/>
                        <w:szCs w:val="28"/>
                      </w:rPr>
                      <w:fldChar w:fldCharType="end"/>
                    </w:r>
                  </w:p>
                </w:txbxContent>
              </v:textbox>
              <w10:wrap type="square" anchorx="margin" anchory="margin"/>
            </v:rect>
          </w:pict>
        </mc:Fallback>
      </mc:AlternateContent>
    </w:r>
    <w:r w:rsidRPr="00486FA1">
      <w:rPr>
        <w:noProof/>
        <w:color w:val="808080" w:themeColor="background1" w:themeShade="80"/>
        <w:sz w:val="12"/>
      </w:rPr>
      <mc:AlternateContent>
        <mc:Choice Requires="wpg">
          <w:drawing>
            <wp:anchor distT="0" distB="0" distL="0" distR="0" simplePos="0" relativeHeight="251662336" behindDoc="0" locked="0" layoutInCell="1" allowOverlap="1" wp14:anchorId="707B576F" wp14:editId="14C4ED4E">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254000"/>
              <wp:effectExtent l="0" t="0" r="0" b="12700"/>
              <wp:wrapSquare wrapText="bothSides"/>
              <wp:docPr id="37" name="Group 37"/>
              <wp:cNvGraphicFramePr/>
              <a:graphic xmlns:a="http://schemas.openxmlformats.org/drawingml/2006/main">
                <a:graphicData uri="http://schemas.microsoft.com/office/word/2010/wordprocessingGroup">
                  <wpg:wgp>
                    <wpg:cNvGrpSpPr/>
                    <wpg:grpSpPr>
                      <a:xfrm>
                        <a:off x="0" y="0"/>
                        <a:ext cx="5943600" cy="25400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9-08T00:00:00Z">
                                <w:dateFormat w:val="MMMM d, yyyy"/>
                                <w:lid w:val="en-US"/>
                                <w:storeMappedDataAs w:val="dateTime"/>
                                <w:calendar w:val="gregorian"/>
                              </w:date>
                            </w:sdtPr>
                            <w:sdtContent>
                              <w:p w14:paraId="5059F8E5" w14:textId="4F1A7629" w:rsidR="00486FA1" w:rsidRDefault="00E72683">
                                <w:pPr>
                                  <w:jc w:val="right"/>
                                  <w:rPr>
                                    <w:color w:val="7F7F7F" w:themeColor="text1" w:themeTint="80"/>
                                  </w:rPr>
                                </w:pPr>
                                <w:r>
                                  <w:rPr>
                                    <w:color w:val="7F7F7F" w:themeColor="text1" w:themeTint="80"/>
                                  </w:rPr>
                                  <w:t>September 8, 2023</w:t>
                                </w:r>
                              </w:p>
                            </w:sdtContent>
                          </w:sdt>
                          <w:p w14:paraId="26AE4CA0" w14:textId="77777777" w:rsidR="00486FA1" w:rsidRDefault="00486FA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07B576F" id="Group 37" o:spid="_x0000_s1027" style="position:absolute;margin-left:416.8pt;margin-top:0;width:468pt;height:20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i+zWwMAAHAKAAAOAAAAZHJzL2Uyb0RvYy54bWzMVltP2zAYfZ+0/2D5faRJ29BGBMRgoEkI&#13;&#10;EDDx7DpOE82xPdslYb9+n51LaakGAgnxkvryXU/O+ZqDo6bi6IFpU0qR4nBvhBETVGalWKb4193Z&#13;&#10;txlGxhKRES4FS/EjM/jo8OuXg1olLJKF5BnTCIIIk9QqxYW1KgkCQwtWEbMnFRNwmUtdEQtbvQwy&#13;&#10;TWqIXvEgGo3ioJY6U1pSZgycnraX+NDHz3NG7VWeG2YRTzHUZv1T++fCPYPDA5IsNVFFSbsyyBuq&#13;&#10;qEgpIOkQ6pRYgla6fBaqKqmWRuZ2j8oqkHleUuZ7gG7C0VY351qulO9lmdRLNcAE0G7h9Oaw9PLh&#13;&#10;XKtbda0BiVotAQu/c700ua7cL1SJGg/Z4wAZayyicDidT8bxCJClcBdNJyNYe0xpAcA/c6PFj8Ex&#13;&#10;juJp5ziOxrNp6ByDPm2wUUytgB5mjYB5HwK3BVHMA2sSQOBaozJL8Ri4KkgFLL0B3hCx5AzBmQfG&#13;&#10;2w0wmcQAYjswCucj19MLOIWzWRRvdEsSpY09Z7JCbpFiDRV4QpGHC2NbYHoTl9dIXmZnJed+49TC&#13;&#10;TrhGDwR4bpseyg0rLpytkM6rDehOAOe+G7+yj5w5Oy5uWA6wwDuOfCFekuskhFImbNheFSRjbe4p&#13;&#10;EMAzAF7k4OFfqw/oIueQf4jdBdhsoI/dVtnZO1fmFT04j/5XWOs8ePjMUtjBuSqF1LsCcOiqy9za&#13;&#10;9yC10DiUFjJ7BNJo2c4To+hZCa/tghh7TTQMEOAADEV7BY+cyzrFslthVEj9d9e5swdWwy1GNQyk&#13;&#10;FJs/K6IZRvynAL7Pw8kEwlq/mUz3I9jopzeLpzdiVZ1I4EII41dRv3T2lvfLXMvqHmbnscsKV0RQ&#13;&#10;yJ1ianW/ObHtoITpS9nxsTeDqaWIvRC3irrgDlVHy7vmnmjVcdfCcLiUvcZIskXh1tZ5Cnm8sjIv&#13;&#10;Pb/XuHZ4g97dSPoI4c974d+5ufZdNmg839I9sg2cu56BG14puycAQAnqj+N43yscODsMvI1JuR/u&#13;&#10;T983AgYlO7Ei4Fg8htnT4rqp8V443SRZV+9XOxT/CmHtlvMrHD9aztnvF+Vsm0Xj/wGGl/uJBQ4E&#13;&#10;e7O4F59J2v4fHj5r/L9D9wnmvpue7v0oWH8oHv4DAAD//wMAUEsDBBQABgAIAAAAIQAJ3qCk3wAA&#13;&#10;AAkBAAAPAAAAZHJzL2Rvd25yZXYueG1sTI9PS8QwEMXvgt8hjODNTbsrRbtNF/EPgnjYVkG8pc3Y&#13;&#10;FJtJt8nu1m/v6EUvDx6PefN+xWZ2gzjgFHpPCtJFAgKp9aanTsHry8PFFYgQNRk9eEIFXxhgU56e&#13;&#10;FDo3/kgVHurYCS6hkGsFNsYxlzK0Fp0OCz8icfbhJ6cj26mTZtJHLneDXCZJJp3uiT9YPeKtxfaz&#13;&#10;3jsFy9X983v6tqvqp+oxa7bb1NpdqtT52Xy3ZrlZg4g4x78L+GHg/VDysMbvyQQxKGCa+KucXa8y&#13;&#10;to2CyyQBWRbyP0H5DQAA//8DAFBLAQItABQABgAIAAAAIQC2gziS/gAAAOEBAAATAAAAAAAAAAAA&#13;&#10;AAAAAAAAAABbQ29udGVudF9UeXBlc10ueG1sUEsBAi0AFAAGAAgAAAAhADj9If/WAAAAlAEAAAsA&#13;&#10;AAAAAAAAAAAAAAAALwEAAF9yZWxzLy5yZWxzUEsBAi0AFAAGAAgAAAAhAKWeL7NbAwAAcAoAAA4A&#13;&#10;AAAAAAAAAAAAAAAALgIAAGRycy9lMm9Eb2MueG1sUEsBAi0AFAAGAAgAAAAhAAneoKTfAAAACQEA&#13;&#10;AA8AAAAAAAAAAAAAAAAAtQUAAGRycy9kb3ducmV2LnhtbFBLBQYAAAAABAAEAPMAAADBBgAAAAA=&#13;&#10;">
              <v:rect id="Rectangle 38" o:spid="_x0000_s1028"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WqRPxwAAAOAAAAAPAAAAZHJzL2Rvd25yZXYueG1sRI/BasMw&#13;&#10;DIbvg72D0WC31VkLpUvrlrKusNOgWRg7iliNQ2I5xG6avf10KPQi+BH/J32b3eQ7NdIQm8AGXmcZ&#13;&#10;KOIq2IZrA+X38WUFKiZki11gMvBHEXbbx4cN5jZc+URjkWolEI45GnAp9bnWsXLkMc5CTyy7cxg8&#13;&#10;JolDre2AV4H7Ts+zbKk9NiwXHPb07qhqi4s3UP8eP8apdRROcVFc2v6t/Pqxxjw/TYe1jP0aVKIp&#13;&#10;3Rs3xKc1sJCPRUhkQG//AQAA//8DAFBLAQItABQABgAIAAAAIQDb4fbL7gAAAIUBAAATAAAAAAAA&#13;&#10;AAAAAAAAAAAAAABbQ29udGVudF9UeXBlc10ueG1sUEsBAi0AFAAGAAgAAAAhAFr0LFu/AAAAFQEA&#13;&#10;AAsAAAAAAAAAAAAAAAAAHwEAAF9yZWxzLy5yZWxzUEsBAi0AFAAGAAgAAAAhAF9apE/HAAAA4AAA&#13;&#10;AA8AAAAAAAAAAAAAAAAABwIAAGRycy9kb3ducmV2LnhtbFBLBQYAAAAAAwADALcAAAD7AgAAAAA=&#13;&#10;" fillcolor="black [3213]" stroked="f" strokeweight="2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9-08T00:00:00Z">
                          <w:dateFormat w:val="MMMM d, yyyy"/>
                          <w:lid w:val="en-US"/>
                          <w:storeMappedDataAs w:val="dateTime"/>
                          <w:calendar w:val="gregorian"/>
                        </w:date>
                      </w:sdtPr>
                      <w:sdtContent>
                        <w:p w14:paraId="5059F8E5" w14:textId="4F1A7629" w:rsidR="00486FA1" w:rsidRDefault="00E72683">
                          <w:pPr>
                            <w:jc w:val="right"/>
                            <w:rPr>
                              <w:color w:val="7F7F7F" w:themeColor="text1" w:themeTint="80"/>
                            </w:rPr>
                          </w:pPr>
                          <w:r>
                            <w:rPr>
                              <w:color w:val="7F7F7F" w:themeColor="text1" w:themeTint="80"/>
                            </w:rPr>
                            <w:t>September 8, 2023</w:t>
                          </w:r>
                        </w:p>
                      </w:sdtContent>
                    </w:sdt>
                    <w:p w14:paraId="26AE4CA0" w14:textId="77777777" w:rsidR="00486FA1" w:rsidRDefault="00486FA1">
                      <w:pPr>
                        <w:jc w:val="right"/>
                        <w:rPr>
                          <w:color w:val="808080" w:themeColor="background1" w:themeShade="80"/>
                        </w:rPr>
                      </w:pPr>
                    </w:p>
                  </w:txbxContent>
                </v:textbox>
              </v:shape>
              <w10:wrap type="square" anchorx="margin"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1E92" w14:textId="77777777" w:rsidR="00E72683" w:rsidRDefault="00E72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098EF" w14:textId="77777777" w:rsidR="000475EF" w:rsidRDefault="000475EF" w:rsidP="004A2FB2">
      <w:pPr>
        <w:spacing w:after="0" w:line="240" w:lineRule="auto"/>
      </w:pPr>
      <w:r>
        <w:separator/>
      </w:r>
    </w:p>
  </w:footnote>
  <w:footnote w:type="continuationSeparator" w:id="0">
    <w:p w14:paraId="46A1CF13" w14:textId="77777777" w:rsidR="000475EF" w:rsidRDefault="000475EF" w:rsidP="004A2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12D1" w14:textId="77777777" w:rsidR="00E72683" w:rsidRDefault="00E72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0468" w14:textId="3FF78628" w:rsidR="009E70C3" w:rsidRDefault="009E70C3">
    <w:pPr>
      <w:pStyle w:val="Header"/>
    </w:pPr>
    <w:r>
      <w:rPr>
        <w:noProof/>
      </w:rPr>
      <w:drawing>
        <wp:anchor distT="0" distB="0" distL="114300" distR="114300" simplePos="0" relativeHeight="251659264" behindDoc="1" locked="0" layoutInCell="1" allowOverlap="1" wp14:anchorId="15E28F5D" wp14:editId="19D9B12E">
          <wp:simplePos x="0" y="0"/>
          <wp:positionH relativeFrom="margin">
            <wp:align>left</wp:align>
          </wp:positionH>
          <wp:positionV relativeFrom="paragraph">
            <wp:posOffset>-295275</wp:posOffset>
          </wp:positionV>
          <wp:extent cx="2667000" cy="749300"/>
          <wp:effectExtent l="0" t="0" r="0" b="0"/>
          <wp:wrapNone/>
          <wp:docPr id="1" name="Picture 1" descr="C:\Users\jstjohn\Box\TTUHSC\administration\office docs\SPPH\TTUHSC_JJM_School_Population_PublicHealth_Left Full Color.jpg"/>
          <wp:cNvGraphicFramePr/>
          <a:graphic xmlns:a="http://schemas.openxmlformats.org/drawingml/2006/main">
            <a:graphicData uri="http://schemas.openxmlformats.org/drawingml/2006/picture">
              <pic:pic xmlns:pic="http://schemas.openxmlformats.org/drawingml/2006/picture">
                <pic:nvPicPr>
                  <pic:cNvPr id="1" name="Picture 1" descr="C:\Users\jstjohn\Box\TTUHSC\administration\office docs\SPPH\TTUHSC_JJM_School_Population_PublicHealth_Left Full Color.jpg"/>
                  <pic:cNvPicPr/>
                </pic:nvPicPr>
                <pic:blipFill rotWithShape="1">
                  <a:blip r:embed="rId1" cstate="print">
                    <a:extLst>
                      <a:ext uri="{28A0092B-C50C-407E-A947-70E740481C1C}">
                        <a14:useLocalDpi xmlns:a14="http://schemas.microsoft.com/office/drawing/2010/main" val="0"/>
                      </a:ext>
                    </a:extLst>
                  </a:blip>
                  <a:srcRect l="4517" t="18299" r="3830" b="17101"/>
                  <a:stretch/>
                </pic:blipFill>
                <pic:spPr bwMode="auto">
                  <a:xfrm>
                    <a:off x="0" y="0"/>
                    <a:ext cx="2667000" cy="749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0E9A" w14:textId="77777777" w:rsidR="00E72683" w:rsidRDefault="00E72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B50"/>
    <w:multiLevelType w:val="multilevel"/>
    <w:tmpl w:val="B1B8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D0412"/>
    <w:multiLevelType w:val="hybridMultilevel"/>
    <w:tmpl w:val="B65800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EB46D3"/>
    <w:multiLevelType w:val="multilevel"/>
    <w:tmpl w:val="A28A0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24716"/>
    <w:multiLevelType w:val="hybridMultilevel"/>
    <w:tmpl w:val="AA0C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D648D6"/>
    <w:multiLevelType w:val="hybridMultilevel"/>
    <w:tmpl w:val="1CDC77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9283907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4048781">
    <w:abstractNumId w:val="4"/>
  </w:num>
  <w:num w:numId="3" w16cid:durableId="1736395262">
    <w:abstractNumId w:val="1"/>
  </w:num>
  <w:num w:numId="4" w16cid:durableId="1707559147">
    <w:abstractNumId w:val="3"/>
  </w:num>
  <w:num w:numId="5" w16cid:durableId="1106922737">
    <w:abstractNumId w:val="2"/>
  </w:num>
  <w:num w:numId="6" w16cid:durableId="808522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985"/>
    <w:rsid w:val="00002375"/>
    <w:rsid w:val="00006A56"/>
    <w:rsid w:val="000475EF"/>
    <w:rsid w:val="0007550B"/>
    <w:rsid w:val="000F75F1"/>
    <w:rsid w:val="0010417B"/>
    <w:rsid w:val="001149F5"/>
    <w:rsid w:val="00167F6C"/>
    <w:rsid w:val="00197C03"/>
    <w:rsid w:val="001A5550"/>
    <w:rsid w:val="002329B9"/>
    <w:rsid w:val="0024451E"/>
    <w:rsid w:val="002A2B27"/>
    <w:rsid w:val="002C082E"/>
    <w:rsid w:val="002F073E"/>
    <w:rsid w:val="003000A9"/>
    <w:rsid w:val="00300F55"/>
    <w:rsid w:val="00315D34"/>
    <w:rsid w:val="0032172B"/>
    <w:rsid w:val="00344254"/>
    <w:rsid w:val="003521A7"/>
    <w:rsid w:val="003523B8"/>
    <w:rsid w:val="00371E60"/>
    <w:rsid w:val="00394EC7"/>
    <w:rsid w:val="003D6DD1"/>
    <w:rsid w:val="00413746"/>
    <w:rsid w:val="004316E7"/>
    <w:rsid w:val="00445447"/>
    <w:rsid w:val="0045661E"/>
    <w:rsid w:val="0048354F"/>
    <w:rsid w:val="00486FA1"/>
    <w:rsid w:val="004A0AEF"/>
    <w:rsid w:val="004A2FB2"/>
    <w:rsid w:val="004C5F46"/>
    <w:rsid w:val="004E55B6"/>
    <w:rsid w:val="00522EE3"/>
    <w:rsid w:val="0053361F"/>
    <w:rsid w:val="00552982"/>
    <w:rsid w:val="00577661"/>
    <w:rsid w:val="005B4F87"/>
    <w:rsid w:val="005C6F5E"/>
    <w:rsid w:val="00624B80"/>
    <w:rsid w:val="006313F6"/>
    <w:rsid w:val="0064447F"/>
    <w:rsid w:val="00664A4C"/>
    <w:rsid w:val="00680E68"/>
    <w:rsid w:val="006A0F35"/>
    <w:rsid w:val="006A1A3D"/>
    <w:rsid w:val="006A2523"/>
    <w:rsid w:val="006A688D"/>
    <w:rsid w:val="006D0835"/>
    <w:rsid w:val="006D5DAF"/>
    <w:rsid w:val="00713D40"/>
    <w:rsid w:val="00714208"/>
    <w:rsid w:val="007226EA"/>
    <w:rsid w:val="00725686"/>
    <w:rsid w:val="00726947"/>
    <w:rsid w:val="00752BF3"/>
    <w:rsid w:val="007B1A5A"/>
    <w:rsid w:val="007D05B7"/>
    <w:rsid w:val="00805B5D"/>
    <w:rsid w:val="0084107C"/>
    <w:rsid w:val="00854AD5"/>
    <w:rsid w:val="00875915"/>
    <w:rsid w:val="008822AD"/>
    <w:rsid w:val="00886FDD"/>
    <w:rsid w:val="00897F24"/>
    <w:rsid w:val="008B2DC1"/>
    <w:rsid w:val="008E1AE8"/>
    <w:rsid w:val="008E37A5"/>
    <w:rsid w:val="008F5CF8"/>
    <w:rsid w:val="00910CD6"/>
    <w:rsid w:val="00914F44"/>
    <w:rsid w:val="00921485"/>
    <w:rsid w:val="009353EE"/>
    <w:rsid w:val="00957928"/>
    <w:rsid w:val="00995A7F"/>
    <w:rsid w:val="009B119F"/>
    <w:rsid w:val="009D7722"/>
    <w:rsid w:val="009E70C3"/>
    <w:rsid w:val="00A15C47"/>
    <w:rsid w:val="00A31036"/>
    <w:rsid w:val="00A3208F"/>
    <w:rsid w:val="00AC2AEC"/>
    <w:rsid w:val="00AE08B0"/>
    <w:rsid w:val="00AF34D9"/>
    <w:rsid w:val="00AF744E"/>
    <w:rsid w:val="00B2065E"/>
    <w:rsid w:val="00B321CA"/>
    <w:rsid w:val="00B3473E"/>
    <w:rsid w:val="00B55CBD"/>
    <w:rsid w:val="00B62542"/>
    <w:rsid w:val="00C23F8A"/>
    <w:rsid w:val="00C2627F"/>
    <w:rsid w:val="00C31571"/>
    <w:rsid w:val="00CE76C6"/>
    <w:rsid w:val="00CF1FAA"/>
    <w:rsid w:val="00D05457"/>
    <w:rsid w:val="00D315D6"/>
    <w:rsid w:val="00D34240"/>
    <w:rsid w:val="00D35DA7"/>
    <w:rsid w:val="00D368A9"/>
    <w:rsid w:val="00D56985"/>
    <w:rsid w:val="00D65EF3"/>
    <w:rsid w:val="00DC65FB"/>
    <w:rsid w:val="00DD1EA0"/>
    <w:rsid w:val="00DE4B44"/>
    <w:rsid w:val="00E0210E"/>
    <w:rsid w:val="00E1378E"/>
    <w:rsid w:val="00E20D09"/>
    <w:rsid w:val="00E663F8"/>
    <w:rsid w:val="00E72683"/>
    <w:rsid w:val="00E7424B"/>
    <w:rsid w:val="00EB045F"/>
    <w:rsid w:val="00EE6686"/>
    <w:rsid w:val="00F916D5"/>
    <w:rsid w:val="00F953F3"/>
    <w:rsid w:val="00FA55BE"/>
    <w:rsid w:val="00FA721E"/>
    <w:rsid w:val="00FB09EC"/>
    <w:rsid w:val="00FB6FB4"/>
    <w:rsid w:val="00FD0E19"/>
    <w:rsid w:val="00FE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6A045"/>
  <w15:docId w15:val="{6A1DDD51-74FF-446E-A647-40AE6EA1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985"/>
    <w:pPr>
      <w:spacing w:after="0" w:line="240" w:lineRule="auto"/>
      <w:ind w:left="720"/>
    </w:pPr>
    <w:rPr>
      <w:rFonts w:ascii="Calibri" w:eastAsia="Times New Roman" w:hAnsi="Calibri" w:cs="Times New Roman"/>
    </w:rPr>
  </w:style>
  <w:style w:type="character" w:styleId="CommentReference">
    <w:name w:val="annotation reference"/>
    <w:basedOn w:val="DefaultParagraphFont"/>
    <w:uiPriority w:val="99"/>
    <w:semiHidden/>
    <w:unhideWhenUsed/>
    <w:rsid w:val="00344254"/>
    <w:rPr>
      <w:sz w:val="16"/>
      <w:szCs w:val="16"/>
    </w:rPr>
  </w:style>
  <w:style w:type="paragraph" w:styleId="CommentText">
    <w:name w:val="annotation text"/>
    <w:basedOn w:val="Normal"/>
    <w:link w:val="CommentTextChar"/>
    <w:uiPriority w:val="99"/>
    <w:semiHidden/>
    <w:unhideWhenUsed/>
    <w:rsid w:val="00344254"/>
    <w:pPr>
      <w:spacing w:line="240" w:lineRule="auto"/>
    </w:pPr>
    <w:rPr>
      <w:sz w:val="20"/>
      <w:szCs w:val="20"/>
    </w:rPr>
  </w:style>
  <w:style w:type="character" w:customStyle="1" w:styleId="CommentTextChar">
    <w:name w:val="Comment Text Char"/>
    <w:basedOn w:val="DefaultParagraphFont"/>
    <w:link w:val="CommentText"/>
    <w:uiPriority w:val="99"/>
    <w:semiHidden/>
    <w:rsid w:val="00344254"/>
    <w:rPr>
      <w:sz w:val="20"/>
      <w:szCs w:val="20"/>
    </w:rPr>
  </w:style>
  <w:style w:type="paragraph" w:styleId="CommentSubject">
    <w:name w:val="annotation subject"/>
    <w:basedOn w:val="CommentText"/>
    <w:next w:val="CommentText"/>
    <w:link w:val="CommentSubjectChar"/>
    <w:uiPriority w:val="99"/>
    <w:semiHidden/>
    <w:unhideWhenUsed/>
    <w:rsid w:val="00344254"/>
    <w:rPr>
      <w:b/>
      <w:bCs/>
    </w:rPr>
  </w:style>
  <w:style w:type="character" w:customStyle="1" w:styleId="CommentSubjectChar">
    <w:name w:val="Comment Subject Char"/>
    <w:basedOn w:val="CommentTextChar"/>
    <w:link w:val="CommentSubject"/>
    <w:uiPriority w:val="99"/>
    <w:semiHidden/>
    <w:rsid w:val="00344254"/>
    <w:rPr>
      <w:b/>
      <w:bCs/>
      <w:sz w:val="20"/>
      <w:szCs w:val="20"/>
    </w:rPr>
  </w:style>
  <w:style w:type="paragraph" w:styleId="BalloonText">
    <w:name w:val="Balloon Text"/>
    <w:basedOn w:val="Normal"/>
    <w:link w:val="BalloonTextChar"/>
    <w:uiPriority w:val="99"/>
    <w:semiHidden/>
    <w:unhideWhenUsed/>
    <w:rsid w:val="003442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254"/>
    <w:rPr>
      <w:rFonts w:ascii="Segoe UI" w:hAnsi="Segoe UI" w:cs="Segoe UI"/>
      <w:sz w:val="18"/>
      <w:szCs w:val="18"/>
    </w:rPr>
  </w:style>
  <w:style w:type="paragraph" w:styleId="Header">
    <w:name w:val="header"/>
    <w:basedOn w:val="Normal"/>
    <w:link w:val="HeaderChar"/>
    <w:uiPriority w:val="99"/>
    <w:unhideWhenUsed/>
    <w:rsid w:val="004A2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FB2"/>
  </w:style>
  <w:style w:type="paragraph" w:styleId="Footer">
    <w:name w:val="footer"/>
    <w:basedOn w:val="Normal"/>
    <w:link w:val="FooterChar"/>
    <w:uiPriority w:val="99"/>
    <w:unhideWhenUsed/>
    <w:rsid w:val="004A2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FB2"/>
  </w:style>
  <w:style w:type="character" w:styleId="Hyperlink">
    <w:name w:val="Hyperlink"/>
    <w:uiPriority w:val="99"/>
    <w:unhideWhenUsed/>
    <w:rsid w:val="00B62542"/>
    <w:rPr>
      <w:color w:val="0563C1"/>
      <w:u w:val="single"/>
    </w:rPr>
  </w:style>
  <w:style w:type="paragraph" w:styleId="Revision">
    <w:name w:val="Revision"/>
    <w:hidden/>
    <w:uiPriority w:val="99"/>
    <w:semiHidden/>
    <w:rsid w:val="00413746"/>
    <w:pPr>
      <w:spacing w:after="0" w:line="240" w:lineRule="auto"/>
    </w:pPr>
  </w:style>
  <w:style w:type="character" w:styleId="UnresolvedMention">
    <w:name w:val="Unresolved Mention"/>
    <w:basedOn w:val="DefaultParagraphFont"/>
    <w:uiPriority w:val="99"/>
    <w:semiHidden/>
    <w:unhideWhenUsed/>
    <w:rsid w:val="009E70C3"/>
    <w:rPr>
      <w:color w:val="605E5C"/>
      <w:shd w:val="clear" w:color="auto" w:fill="E1DFDD"/>
    </w:rPr>
  </w:style>
  <w:style w:type="character" w:styleId="FollowedHyperlink">
    <w:name w:val="FollowedHyperlink"/>
    <w:basedOn w:val="DefaultParagraphFont"/>
    <w:uiPriority w:val="99"/>
    <w:semiHidden/>
    <w:unhideWhenUsed/>
    <w:rsid w:val="00DC65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43703">
      <w:bodyDiv w:val="1"/>
      <w:marLeft w:val="0"/>
      <w:marRight w:val="0"/>
      <w:marTop w:val="0"/>
      <w:marBottom w:val="0"/>
      <w:divBdr>
        <w:top w:val="none" w:sz="0" w:space="0" w:color="auto"/>
        <w:left w:val="none" w:sz="0" w:space="0" w:color="auto"/>
        <w:bottom w:val="none" w:sz="0" w:space="0" w:color="auto"/>
        <w:right w:val="none" w:sz="0" w:space="0" w:color="auto"/>
      </w:divBdr>
    </w:div>
    <w:div w:id="12598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atisticalatlas.com/state/Texas/Educational-Attainment"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tuhsc.edu/about/factbook.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atisticalatlas.com/state/Texas/Languag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ttuhsc.edu/population-public-health/documents/ceph/TTUHSCSelfStudy2023.pdf"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texastech.edu/bo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B3AEE3-7AD0-4D8B-A5CC-B44953A4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Cowin, Tracy R</dc:creator>
  <cp:lastModifiedBy>Patterson, Corey</cp:lastModifiedBy>
  <cp:revision>4</cp:revision>
  <cp:lastPrinted>2013-06-19T16:15:00Z</cp:lastPrinted>
  <dcterms:created xsi:type="dcterms:W3CDTF">2024-07-02T13:25:00Z</dcterms:created>
  <dcterms:modified xsi:type="dcterms:W3CDTF">2024-07-03T21:42:00Z</dcterms:modified>
</cp:coreProperties>
</file>