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472E" w14:textId="75B87E4C" w:rsidR="00123DB0" w:rsidRPr="0099741B" w:rsidRDefault="0068460D" w:rsidP="0099741B">
      <w:pPr>
        <w:pStyle w:val="NormalWeb"/>
        <w:jc w:val="center"/>
        <w:rPr>
          <w:rFonts w:ascii="Tahoma" w:hAnsi="Tahoma" w:cs="Tahoma"/>
          <w:b/>
          <w:sz w:val="20"/>
          <w:szCs w:val="20"/>
        </w:rPr>
      </w:pPr>
      <w:r>
        <w:rPr>
          <w:rFonts w:ascii="Tahoma" w:hAnsi="Tahoma" w:cs="Tahoma"/>
          <w:b/>
          <w:sz w:val="20"/>
          <w:szCs w:val="20"/>
        </w:rPr>
        <w:t xml:space="preserve">TTUHSC SOM </w:t>
      </w:r>
      <w:bookmarkStart w:id="0" w:name="_GoBack"/>
      <w:bookmarkEnd w:id="0"/>
      <w:r w:rsidR="00123DB0" w:rsidRPr="0099741B">
        <w:rPr>
          <w:rFonts w:ascii="Tahoma" w:hAnsi="Tahoma" w:cs="Tahoma"/>
          <w:b/>
          <w:sz w:val="20"/>
          <w:szCs w:val="20"/>
        </w:rPr>
        <w:t>Psychiatry Department</w:t>
      </w:r>
    </w:p>
    <w:p w14:paraId="31D3DC3B" w14:textId="77777777" w:rsidR="0099741B" w:rsidRDefault="0099741B" w:rsidP="0099741B">
      <w:pPr>
        <w:pStyle w:val="NormalWeb"/>
        <w:jc w:val="center"/>
        <w:rPr>
          <w:rFonts w:ascii="Tahoma" w:hAnsi="Tahoma" w:cs="Tahoma"/>
          <w:sz w:val="20"/>
          <w:szCs w:val="20"/>
        </w:rPr>
      </w:pPr>
      <w:r w:rsidRPr="0099741B">
        <w:rPr>
          <w:rFonts w:ascii="Tahoma" w:hAnsi="Tahoma" w:cs="Tahoma"/>
          <w:b/>
          <w:sz w:val="20"/>
          <w:szCs w:val="20"/>
        </w:rPr>
        <w:t>Policy on i</w:t>
      </w:r>
      <w:r w:rsidR="00123DB0" w:rsidRPr="0099741B">
        <w:rPr>
          <w:rFonts w:ascii="Tahoma" w:hAnsi="Tahoma" w:cs="Tahoma"/>
          <w:b/>
          <w:sz w:val="20"/>
          <w:szCs w:val="20"/>
        </w:rPr>
        <w:t>nternal moonlighting</w:t>
      </w:r>
    </w:p>
    <w:p w14:paraId="2AB8C888" w14:textId="2EC760A8" w:rsidR="00123DB0" w:rsidRDefault="00123DB0" w:rsidP="0099741B">
      <w:pPr>
        <w:pStyle w:val="NormalWeb"/>
        <w:jc w:val="center"/>
      </w:pPr>
      <w:r>
        <w:rPr>
          <w:rFonts w:ascii="Tahoma" w:hAnsi="Tahoma" w:cs="Tahoma"/>
          <w:sz w:val="20"/>
          <w:szCs w:val="20"/>
        </w:rPr>
        <w:t xml:space="preserve"> </w:t>
      </w:r>
    </w:p>
    <w:p w14:paraId="56F9B87D" w14:textId="77777777" w:rsidR="0099741B" w:rsidRDefault="00123DB0" w:rsidP="00123DB0">
      <w:pPr>
        <w:pStyle w:val="NormalWeb"/>
        <w:rPr>
          <w:rFonts w:ascii="Tahoma" w:hAnsi="Tahoma" w:cs="Tahoma"/>
          <w:b/>
          <w:bCs/>
          <w:sz w:val="20"/>
          <w:szCs w:val="20"/>
        </w:rPr>
      </w:pPr>
      <w:r>
        <w:rPr>
          <w:rFonts w:ascii="Tahoma" w:hAnsi="Tahoma" w:cs="Tahoma"/>
          <w:b/>
          <w:bCs/>
          <w:sz w:val="20"/>
          <w:szCs w:val="20"/>
        </w:rPr>
        <w:t>DEFINITIONS</w:t>
      </w:r>
    </w:p>
    <w:p w14:paraId="0D94AE78" w14:textId="27B49D0D" w:rsidR="00123DB0" w:rsidRPr="00123DB0" w:rsidRDefault="00123DB0" w:rsidP="00123DB0">
      <w:pPr>
        <w:pStyle w:val="NormalWeb"/>
        <w:rPr>
          <w:rFonts w:ascii="Tahoma" w:hAnsi="Tahoma" w:cs="Tahoma"/>
          <w:sz w:val="20"/>
          <w:szCs w:val="20"/>
        </w:rPr>
      </w:pPr>
      <w:r>
        <w:rPr>
          <w:rFonts w:ascii="Tahoma" w:hAnsi="Tahoma" w:cs="Tahoma"/>
          <w:b/>
          <w:bCs/>
          <w:sz w:val="20"/>
          <w:szCs w:val="20"/>
        </w:rPr>
        <w:br/>
      </w:r>
      <w:r w:rsidRPr="0099741B">
        <w:rPr>
          <w:rFonts w:ascii="Tahoma" w:hAnsi="Tahoma" w:cs="Tahoma"/>
          <w:bCs/>
          <w:sz w:val="20"/>
          <w:szCs w:val="20"/>
        </w:rPr>
        <w:t>Internal Moonlighting:</w:t>
      </w:r>
      <w:r>
        <w:rPr>
          <w:rFonts w:ascii="Tahoma" w:hAnsi="Tahoma" w:cs="Tahoma"/>
          <w:b/>
          <w:bCs/>
          <w:sz w:val="20"/>
          <w:szCs w:val="20"/>
        </w:rPr>
        <w:t xml:space="preserve"> </w:t>
      </w:r>
      <w:r>
        <w:rPr>
          <w:rFonts w:ascii="Tahoma" w:hAnsi="Tahoma" w:cs="Tahoma"/>
          <w:sz w:val="20"/>
          <w:szCs w:val="20"/>
        </w:rPr>
        <w:t xml:space="preserve">Voluntary, compensated, medically-related work performed within the institution in which the resident is in training or at any of its participating sites. Internal Moonlighting has to occur under the direction of a faculty member associated with the training program, </w:t>
      </w:r>
      <w:proofErr w:type="gramStart"/>
      <w:r>
        <w:rPr>
          <w:rFonts w:ascii="Tahoma" w:hAnsi="Tahoma" w:cs="Tahoma"/>
          <w:sz w:val="20"/>
          <w:szCs w:val="20"/>
        </w:rPr>
        <w:t>is in compliance with</w:t>
      </w:r>
      <w:proofErr w:type="gramEnd"/>
      <w:r>
        <w:rPr>
          <w:rFonts w:ascii="Tahoma" w:hAnsi="Tahoma" w:cs="Tahoma"/>
          <w:sz w:val="20"/>
          <w:szCs w:val="20"/>
        </w:rPr>
        <w:t xml:space="preserve"> the training requirements including but not limited to requirements for faculty supervision and work hour limitations, and is in the same specialty as the training program (or is approved by the Program Director as a training area related to the specialty). </w:t>
      </w:r>
    </w:p>
    <w:p w14:paraId="44086DB6" w14:textId="77777777" w:rsidR="00123DB0" w:rsidRDefault="00123DB0" w:rsidP="00123DB0">
      <w:pPr>
        <w:pStyle w:val="NormalWeb"/>
      </w:pPr>
      <w:r>
        <w:rPr>
          <w:rFonts w:ascii="Tahoma" w:hAnsi="Tahoma" w:cs="Tahoma"/>
          <w:b/>
          <w:bCs/>
          <w:sz w:val="20"/>
          <w:szCs w:val="20"/>
        </w:rPr>
        <w:t xml:space="preserve">POLICY </w:t>
      </w:r>
    </w:p>
    <w:p w14:paraId="1265AFAB" w14:textId="5DD7C65C" w:rsidR="00123DB0" w:rsidRDefault="00123DB0" w:rsidP="00123DB0">
      <w:pPr>
        <w:pStyle w:val="NormalWeb"/>
      </w:pPr>
      <w:r>
        <w:rPr>
          <w:rFonts w:ascii="Tahoma" w:hAnsi="Tahoma" w:cs="Tahoma"/>
          <w:sz w:val="20"/>
          <w:szCs w:val="20"/>
        </w:rPr>
        <w:t xml:space="preserve">The Psychiatry Department takes seriously the responsibility of ensuring a high quality-learning environment for the residents, particularly by ensuring a proper balance between education and patient care activities within established work hour limitations. Residents are not and must not be required to engage in moonlighting. Without compromising the goals of resident training and education a program director may allow a resident to moonlight if all of the following conditions are met: </w:t>
      </w:r>
    </w:p>
    <w:p w14:paraId="3EAA78EC" w14:textId="1CBC4B95" w:rsidR="00123DB0" w:rsidRDefault="00123DB0" w:rsidP="00123DB0">
      <w:pPr>
        <w:pStyle w:val="NormalWeb"/>
        <w:numPr>
          <w:ilvl w:val="0"/>
          <w:numId w:val="2"/>
        </w:numPr>
        <w:rPr>
          <w:rFonts w:ascii="Tahoma" w:hAnsi="Tahoma" w:cs="Tahoma"/>
          <w:sz w:val="20"/>
          <w:szCs w:val="20"/>
        </w:rPr>
      </w:pPr>
      <w:r>
        <w:rPr>
          <w:rFonts w:ascii="Tahoma" w:hAnsi="Tahoma" w:cs="Tahoma"/>
          <w:sz w:val="20"/>
          <w:szCs w:val="20"/>
        </w:rPr>
        <w:t xml:space="preserve">The resident is </w:t>
      </w:r>
      <w:r w:rsidR="0068460D">
        <w:rPr>
          <w:rFonts w:ascii="Tahoma" w:hAnsi="Tahoma" w:cs="Tahoma"/>
          <w:sz w:val="20"/>
          <w:szCs w:val="20"/>
        </w:rPr>
        <w:t>at the PGY3 level or above</w:t>
      </w:r>
    </w:p>
    <w:p w14:paraId="435455C6" w14:textId="55BF74D0" w:rsidR="00123DB0" w:rsidRDefault="00123DB0" w:rsidP="00123DB0">
      <w:pPr>
        <w:pStyle w:val="NormalWeb"/>
        <w:numPr>
          <w:ilvl w:val="0"/>
          <w:numId w:val="2"/>
        </w:numPr>
        <w:rPr>
          <w:rFonts w:ascii="Tahoma" w:hAnsi="Tahoma" w:cs="Tahoma"/>
          <w:sz w:val="20"/>
          <w:szCs w:val="20"/>
        </w:rPr>
      </w:pPr>
      <w:r>
        <w:rPr>
          <w:rFonts w:ascii="Tahoma" w:hAnsi="Tahoma" w:cs="Tahoma"/>
          <w:sz w:val="20"/>
          <w:szCs w:val="20"/>
        </w:rPr>
        <w:t>The resident is in good standing in the program</w:t>
      </w:r>
    </w:p>
    <w:p w14:paraId="5AE3F680" w14:textId="05FDBBE5" w:rsidR="00123DB0" w:rsidRPr="00123DB0" w:rsidRDefault="00123DB0" w:rsidP="00123DB0">
      <w:pPr>
        <w:pStyle w:val="NormalWeb"/>
        <w:numPr>
          <w:ilvl w:val="0"/>
          <w:numId w:val="2"/>
        </w:numPr>
        <w:rPr>
          <w:rFonts w:ascii="Tahoma" w:hAnsi="Tahoma" w:cs="Tahoma"/>
          <w:sz w:val="20"/>
          <w:szCs w:val="20"/>
        </w:rPr>
      </w:pPr>
      <w:r w:rsidRPr="00123DB0">
        <w:rPr>
          <w:rFonts w:ascii="Tahoma" w:hAnsi="Tahoma" w:cs="Tahoma"/>
          <w:sz w:val="20"/>
          <w:szCs w:val="20"/>
        </w:rPr>
        <w:t>The resident is not a J-1 visa holder</w:t>
      </w:r>
    </w:p>
    <w:p w14:paraId="3EEF5BCC" w14:textId="00B828B4" w:rsidR="00123DB0" w:rsidRPr="00123DB0" w:rsidRDefault="00123DB0" w:rsidP="00123DB0">
      <w:pPr>
        <w:pStyle w:val="NormalWeb"/>
        <w:rPr>
          <w:rFonts w:ascii="Tahoma" w:hAnsi="Tahoma" w:cs="Tahoma"/>
          <w:b/>
          <w:sz w:val="20"/>
          <w:szCs w:val="20"/>
        </w:rPr>
      </w:pPr>
      <w:r w:rsidRPr="00123DB0">
        <w:rPr>
          <w:rFonts w:ascii="SymbolMT" w:hAnsi="SymbolMT"/>
          <w:sz w:val="20"/>
          <w:szCs w:val="20"/>
        </w:rPr>
        <w:t xml:space="preserve"> </w:t>
      </w:r>
      <w:r w:rsidRPr="00123DB0">
        <w:rPr>
          <w:rFonts w:ascii="Tahoma" w:hAnsi="Tahoma" w:cs="Tahoma"/>
          <w:b/>
          <w:sz w:val="20"/>
          <w:szCs w:val="20"/>
        </w:rPr>
        <w:t>Licensing</w:t>
      </w:r>
    </w:p>
    <w:p w14:paraId="6E028FF6" w14:textId="0DD8CB31" w:rsidR="00123DB0" w:rsidRDefault="00123DB0" w:rsidP="00123DB0">
      <w:pPr>
        <w:pStyle w:val="NormalWeb"/>
      </w:pPr>
      <w:r>
        <w:rPr>
          <w:rFonts w:ascii="Tahoma" w:hAnsi="Tahoma" w:cs="Tahoma"/>
          <w:sz w:val="20"/>
          <w:szCs w:val="20"/>
        </w:rPr>
        <w:t xml:space="preserve">The resident has a current Texas Medical Board issued Physician in Training (PIT) to perform </w:t>
      </w:r>
      <w:r>
        <w:rPr>
          <w:rFonts w:ascii="Tahoma" w:hAnsi="Tahoma" w:cs="Tahoma"/>
          <w:b/>
          <w:bCs/>
          <w:sz w:val="20"/>
          <w:szCs w:val="20"/>
        </w:rPr>
        <w:t xml:space="preserve">internal </w:t>
      </w:r>
      <w:r>
        <w:rPr>
          <w:rFonts w:ascii="Tahoma" w:hAnsi="Tahoma" w:cs="Tahoma"/>
          <w:sz w:val="20"/>
          <w:szCs w:val="20"/>
        </w:rPr>
        <w:t xml:space="preserve">moonlighting within the institution in which the resident is in training under the supervision of a faculty member or attending physician. </w:t>
      </w:r>
    </w:p>
    <w:p w14:paraId="460B3C29" w14:textId="77777777" w:rsidR="008079B1" w:rsidRDefault="008079B1"/>
    <w:sectPr w:rsidR="008079B1" w:rsidSect="00DE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08F"/>
    <w:multiLevelType w:val="hybridMultilevel"/>
    <w:tmpl w:val="62C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13AD3"/>
    <w:multiLevelType w:val="hybridMultilevel"/>
    <w:tmpl w:val="754C6698"/>
    <w:lvl w:ilvl="0" w:tplc="70468696">
      <w:start w:val="4"/>
      <w:numFmt w:val="bullet"/>
      <w:lvlText w:val="•"/>
      <w:lvlJc w:val="left"/>
      <w:pPr>
        <w:ind w:left="360" w:hanging="360"/>
      </w:pPr>
      <w:rPr>
        <w:rFonts w:ascii="Tahoma" w:eastAsia="Times New Roman" w:hAnsi="Tahoma" w:cs="Tahoma" w:hint="default"/>
      </w:rPr>
    </w:lvl>
    <w:lvl w:ilvl="1" w:tplc="567E7608">
      <w:start w:val="4"/>
      <w:numFmt w:val="bullet"/>
      <w:lvlText w:val="·"/>
      <w:lvlJc w:val="left"/>
      <w:pPr>
        <w:ind w:left="1080" w:hanging="360"/>
      </w:pPr>
      <w:rPr>
        <w:rFonts w:ascii="SymbolMT" w:eastAsia="Times New Roman" w:hAnsi="SymbolMT"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B0"/>
    <w:rsid w:val="00123DB0"/>
    <w:rsid w:val="0068460D"/>
    <w:rsid w:val="008079B1"/>
    <w:rsid w:val="0099741B"/>
    <w:rsid w:val="00DE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DB42"/>
  <w15:chartTrackingRefBased/>
  <w15:docId w15:val="{BA15F9A3-EC14-2744-B283-85391F21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D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62749">
      <w:bodyDiv w:val="1"/>
      <w:marLeft w:val="0"/>
      <w:marRight w:val="0"/>
      <w:marTop w:val="0"/>
      <w:marBottom w:val="0"/>
      <w:divBdr>
        <w:top w:val="none" w:sz="0" w:space="0" w:color="auto"/>
        <w:left w:val="none" w:sz="0" w:space="0" w:color="auto"/>
        <w:bottom w:val="none" w:sz="0" w:space="0" w:color="auto"/>
        <w:right w:val="none" w:sz="0" w:space="0" w:color="auto"/>
      </w:divBdr>
      <w:divsChild>
        <w:div w:id="768769822">
          <w:marLeft w:val="0"/>
          <w:marRight w:val="0"/>
          <w:marTop w:val="0"/>
          <w:marBottom w:val="0"/>
          <w:divBdr>
            <w:top w:val="none" w:sz="0" w:space="0" w:color="auto"/>
            <w:left w:val="none" w:sz="0" w:space="0" w:color="auto"/>
            <w:bottom w:val="none" w:sz="0" w:space="0" w:color="auto"/>
            <w:right w:val="none" w:sz="0" w:space="0" w:color="auto"/>
          </w:divBdr>
          <w:divsChild>
            <w:div w:id="732393184">
              <w:marLeft w:val="0"/>
              <w:marRight w:val="0"/>
              <w:marTop w:val="0"/>
              <w:marBottom w:val="0"/>
              <w:divBdr>
                <w:top w:val="none" w:sz="0" w:space="0" w:color="auto"/>
                <w:left w:val="none" w:sz="0" w:space="0" w:color="auto"/>
                <w:bottom w:val="none" w:sz="0" w:space="0" w:color="auto"/>
                <w:right w:val="none" w:sz="0" w:space="0" w:color="auto"/>
              </w:divBdr>
              <w:divsChild>
                <w:div w:id="5153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46785">
      <w:bodyDiv w:val="1"/>
      <w:marLeft w:val="0"/>
      <w:marRight w:val="0"/>
      <w:marTop w:val="0"/>
      <w:marBottom w:val="0"/>
      <w:divBdr>
        <w:top w:val="none" w:sz="0" w:space="0" w:color="auto"/>
        <w:left w:val="none" w:sz="0" w:space="0" w:color="auto"/>
        <w:bottom w:val="none" w:sz="0" w:space="0" w:color="auto"/>
        <w:right w:val="none" w:sz="0" w:space="0" w:color="auto"/>
      </w:divBdr>
      <w:divsChild>
        <w:div w:id="2014918549">
          <w:marLeft w:val="0"/>
          <w:marRight w:val="0"/>
          <w:marTop w:val="0"/>
          <w:marBottom w:val="0"/>
          <w:divBdr>
            <w:top w:val="none" w:sz="0" w:space="0" w:color="auto"/>
            <w:left w:val="none" w:sz="0" w:space="0" w:color="auto"/>
            <w:bottom w:val="none" w:sz="0" w:space="0" w:color="auto"/>
            <w:right w:val="none" w:sz="0" w:space="0" w:color="auto"/>
          </w:divBdr>
          <w:divsChild>
            <w:div w:id="1448699254">
              <w:marLeft w:val="0"/>
              <w:marRight w:val="0"/>
              <w:marTop w:val="0"/>
              <w:marBottom w:val="0"/>
              <w:divBdr>
                <w:top w:val="none" w:sz="0" w:space="0" w:color="auto"/>
                <w:left w:val="none" w:sz="0" w:space="0" w:color="auto"/>
                <w:bottom w:val="none" w:sz="0" w:space="0" w:color="auto"/>
                <w:right w:val="none" w:sz="0" w:space="0" w:color="auto"/>
              </w:divBdr>
              <w:divsChild>
                <w:div w:id="11935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Wakefield, Sarah</cp:lastModifiedBy>
  <cp:revision>2</cp:revision>
  <dcterms:created xsi:type="dcterms:W3CDTF">2021-07-13T17:36:00Z</dcterms:created>
  <dcterms:modified xsi:type="dcterms:W3CDTF">2021-07-13T17:36:00Z</dcterms:modified>
</cp:coreProperties>
</file>