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109B" w14:textId="77777777" w:rsidR="000519D0" w:rsidRDefault="00AA1235">
      <w:pPr>
        <w:pStyle w:val="BodyText"/>
        <w:ind w:left="405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BA0FA58" wp14:editId="0CCDA36C">
            <wp:extent cx="1285117" cy="642937"/>
            <wp:effectExtent l="0" t="0" r="0" b="0"/>
            <wp:docPr id="1" name="image1.png" descr="TTUHSC logo and Office of Academic Planning and Compliance 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TUHSC logo and Office of Academic Planning and Compliance titl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117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B996" w14:textId="77777777" w:rsidR="000519D0" w:rsidRDefault="000519D0">
      <w:pPr>
        <w:pStyle w:val="BodyText"/>
        <w:spacing w:before="6"/>
        <w:ind w:left="0"/>
        <w:rPr>
          <w:rFonts w:ascii="Times New Roman"/>
          <w:sz w:val="18"/>
        </w:rPr>
      </w:pPr>
    </w:p>
    <w:p w14:paraId="1343A0F0" w14:textId="77777777" w:rsidR="000519D0" w:rsidRDefault="00AA1235">
      <w:pPr>
        <w:pStyle w:val="Title"/>
      </w:pPr>
      <w:r>
        <w:t>Guidelines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rPr>
          <w:spacing w:val="-2"/>
        </w:rPr>
        <w:t>Improvement</w:t>
      </w:r>
    </w:p>
    <w:p w14:paraId="2481CAD1" w14:textId="48B6151C" w:rsidR="000519D0" w:rsidRDefault="00AA1235">
      <w:pPr>
        <w:pStyle w:val="BodyText"/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0586F0" wp14:editId="5F3D2B61">
                <wp:extent cx="6007735" cy="10160"/>
                <wp:effectExtent l="5080" t="635" r="6985" b="825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10160"/>
                          <a:chOff x="0" y="0"/>
                          <a:chExt cx="9461" cy="16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44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96F68" id="docshapegroup1" o:spid="_x0000_s1026" style="width:473.05pt;height:.8pt;mso-position-horizontal-relative:char;mso-position-vertical-relative:line" coordsize="946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">
                <v:line id="Line 3" o:spid="_x0000_s1027" style="position:absolute;visibility:visible;mso-wrap-style:square" from="8,8" to="9454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224E6D2C" w14:textId="77777777" w:rsidR="000519D0" w:rsidRDefault="00AA1235">
      <w:pPr>
        <w:pStyle w:val="Heading1"/>
        <w:rPr>
          <w:u w:val="none"/>
        </w:rPr>
      </w:pPr>
      <w:r>
        <w:rPr>
          <w:spacing w:val="-2"/>
        </w:rPr>
        <w:t>RATIONALE</w:t>
      </w:r>
    </w:p>
    <w:p w14:paraId="35BF0222" w14:textId="77777777" w:rsidR="000519D0" w:rsidRDefault="00AA1235">
      <w:pPr>
        <w:pStyle w:val="BodyText"/>
        <w:spacing w:before="120" w:line="237" w:lineRule="auto"/>
        <w:ind w:left="105" w:right="117"/>
        <w:jc w:val="both"/>
      </w:pPr>
      <w:r>
        <w:t>Texas Tech University Health Sciences Center (TTUHSC) is accredited by the Southern Association of Colleges and Schools</w:t>
      </w:r>
      <w:r>
        <w:rPr>
          <w:spacing w:val="-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on Colleges (SACSCOC) to</w:t>
      </w:r>
      <w:r>
        <w:rPr>
          <w:spacing w:val="-3"/>
        </w:rPr>
        <w:t xml:space="preserve"> </w:t>
      </w:r>
      <w:r>
        <w:t>award baccalaureate,</w:t>
      </w:r>
      <w:r>
        <w:rPr>
          <w:spacing w:val="-2"/>
        </w:rPr>
        <w:t xml:space="preserve"> </w:t>
      </w:r>
      <w:r>
        <w:t>master’s,</w:t>
      </w:r>
      <w:r>
        <w:rPr>
          <w:spacing w:val="-2"/>
        </w:rPr>
        <w:t xml:space="preserve"> </w:t>
      </w:r>
      <w:r>
        <w:t>doctoral, and</w:t>
      </w:r>
      <w:r>
        <w:rPr>
          <w:spacing w:val="-3"/>
        </w:rPr>
        <w:t xml:space="preserve"> </w:t>
      </w:r>
      <w:r>
        <w:t>professio</w:t>
      </w:r>
      <w:r>
        <w:t>nal</w:t>
      </w:r>
      <w:r>
        <w:rPr>
          <w:spacing w:val="-3"/>
        </w:rPr>
        <w:t xml:space="preserve"> </w:t>
      </w:r>
      <w:r>
        <w:t>degrees.</w:t>
      </w:r>
      <w:r>
        <w:rPr>
          <w:spacing w:val="40"/>
        </w:rPr>
        <w:t xml:space="preserve"> </w:t>
      </w:r>
      <w:r>
        <w:t>To maintain accreditation, TTUHSC must remain compliant with the principles of accreditation set forth by SACSCOC.</w:t>
      </w:r>
    </w:p>
    <w:p w14:paraId="7BC1A153" w14:textId="77777777" w:rsidR="000519D0" w:rsidRDefault="00AA1235">
      <w:pPr>
        <w:spacing w:before="174"/>
        <w:ind w:left="105" w:right="122"/>
        <w:jc w:val="both"/>
        <w:rPr>
          <w:sz w:val="20"/>
        </w:rPr>
      </w:pPr>
      <w:r>
        <w:rPr>
          <w:i/>
          <w:sz w:val="20"/>
        </w:rPr>
        <w:t xml:space="preserve">Standard 7.3: Administrative Effectiveness </w:t>
      </w:r>
      <w:r>
        <w:rPr>
          <w:sz w:val="20"/>
        </w:rPr>
        <w:t>stipulates that the “institution identifies expected outcomes of its administrative s</w:t>
      </w:r>
      <w:r>
        <w:rPr>
          <w:sz w:val="20"/>
        </w:rPr>
        <w:t>upport services and demonstrates the extent to which the outcomes are achieved.”</w:t>
      </w:r>
    </w:p>
    <w:p w14:paraId="4E56D839" w14:textId="77777777" w:rsidR="000519D0" w:rsidRDefault="000519D0">
      <w:pPr>
        <w:pStyle w:val="BodyText"/>
        <w:spacing w:before="2"/>
        <w:ind w:left="0"/>
      </w:pPr>
    </w:p>
    <w:p w14:paraId="74B1F246" w14:textId="77777777" w:rsidR="000519D0" w:rsidRDefault="00AA1235">
      <w:pPr>
        <w:pStyle w:val="BodyText"/>
        <w:ind w:left="105" w:right="117"/>
        <w:jc w:val="both"/>
        <w:rPr>
          <w:i/>
        </w:rPr>
      </w:pPr>
      <w:r>
        <w:rPr>
          <w:i/>
        </w:rPr>
        <w:t xml:space="preserve">Standard 8.2: Student Outcomes </w:t>
      </w:r>
      <w:r>
        <w:t>stipulates that the “institution identifies expected outcomes, assesses the extent to which it achieves these outcomes, and provides evidence o</w:t>
      </w:r>
      <w:r>
        <w:t>f seeking improvement based on analysis of the results in each of the following areas: (a) student learning outcomes for each of its educational programs, (b) student learning outcomes for collegiate-level general education competencies of its undergraduat</w:t>
      </w:r>
      <w:r>
        <w:t>e degree programs, and (c) academic and student services that support student success</w:t>
      </w:r>
      <w:r>
        <w:rPr>
          <w:i/>
        </w:rPr>
        <w:t>.</w:t>
      </w:r>
    </w:p>
    <w:p w14:paraId="69A85306" w14:textId="77777777" w:rsidR="000519D0" w:rsidRDefault="00AA1235">
      <w:pPr>
        <w:pStyle w:val="BodyText"/>
        <w:spacing w:before="170"/>
        <w:ind w:left="105" w:right="109"/>
        <w:jc w:val="both"/>
      </w:pPr>
      <w:r>
        <w:t>To facilitate compliance with these standards, TTUHSC implemented an institution-wide assessment management system in 2006.</w:t>
      </w:r>
      <w:r>
        <w:rPr>
          <w:spacing w:val="40"/>
        </w:rPr>
        <w:t xml:space="preserve"> </w:t>
      </w:r>
      <w:r>
        <w:t xml:space="preserve">Known as Weave, TTUHSC faculty and staff use </w:t>
      </w:r>
      <w:r>
        <w:t>the system to document institutional effectiveness and continuous quality improvement in key areas across the institution.</w:t>
      </w:r>
    </w:p>
    <w:p w14:paraId="79860716" w14:textId="77777777" w:rsidR="000519D0" w:rsidRDefault="00AA1235">
      <w:pPr>
        <w:pStyle w:val="Heading1"/>
        <w:spacing w:before="173"/>
        <w:rPr>
          <w:u w:val="none"/>
        </w:rPr>
      </w:pP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25CAC524" w14:textId="77777777" w:rsidR="000519D0" w:rsidRDefault="00AA1235">
      <w:pPr>
        <w:pStyle w:val="ListParagraph"/>
        <w:numPr>
          <w:ilvl w:val="0"/>
          <w:numId w:val="1"/>
        </w:numPr>
        <w:tabs>
          <w:tab w:val="left" w:pos="1186"/>
        </w:tabs>
        <w:ind w:right="117"/>
        <w:jc w:val="both"/>
        <w:rPr>
          <w:sz w:val="20"/>
        </w:rPr>
      </w:pPr>
      <w:r>
        <w:rPr>
          <w:sz w:val="20"/>
        </w:rPr>
        <w:t xml:space="preserve">Academic programs will identify student learning outcomes at the programmatic level, measure the extent to </w:t>
      </w:r>
      <w:r>
        <w:rPr>
          <w:sz w:val="20"/>
        </w:rPr>
        <w:t>which such outcomes are achieved, and document evidence of improvement based on</w:t>
      </w:r>
      <w:r>
        <w:rPr>
          <w:spacing w:val="40"/>
          <w:sz w:val="20"/>
        </w:rPr>
        <w:t xml:space="preserve"> </w:t>
      </w:r>
      <w:r>
        <w:rPr>
          <w:sz w:val="20"/>
        </w:rPr>
        <w:t>analysis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2"/>
          <w:sz w:val="20"/>
        </w:rPr>
        <w:t xml:space="preserve"> </w:t>
      </w:r>
      <w:r>
        <w:rPr>
          <w:sz w:val="20"/>
        </w:rPr>
        <w:t>results.</w:t>
      </w:r>
      <w:r>
        <w:rPr>
          <w:spacing w:val="40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3"/>
          <w:sz w:val="20"/>
        </w:rPr>
        <w:t xml:space="preserve"> </w:t>
      </w:r>
      <w:r>
        <w:rPr>
          <w:sz w:val="20"/>
        </w:rPr>
        <w:t>outcomes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align</w:t>
      </w:r>
      <w:r>
        <w:rPr>
          <w:spacing w:val="-3"/>
          <w:sz w:val="20"/>
        </w:rPr>
        <w:t xml:space="preserve"> </w:t>
      </w:r>
      <w:r>
        <w:rPr>
          <w:sz w:val="20"/>
        </w:rPr>
        <w:t>with the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HSC</w:t>
      </w:r>
      <w:r>
        <w:rPr>
          <w:spacing w:val="-4"/>
          <w:sz w:val="20"/>
        </w:rPr>
        <w:t xml:space="preserve"> </w:t>
      </w:r>
      <w:r>
        <w:rPr>
          <w:sz w:val="20"/>
        </w:rPr>
        <w:t>strategic plan and stated institutional and school-specific mission statements.</w:t>
      </w:r>
    </w:p>
    <w:p w14:paraId="6EF9AA27" w14:textId="77777777" w:rsidR="000519D0" w:rsidRDefault="00AA1235">
      <w:pPr>
        <w:pStyle w:val="ListParagraph"/>
        <w:numPr>
          <w:ilvl w:val="0"/>
          <w:numId w:val="1"/>
        </w:numPr>
        <w:tabs>
          <w:tab w:val="left" w:pos="1186"/>
        </w:tabs>
        <w:spacing w:before="174"/>
        <w:ind w:right="113"/>
        <w:jc w:val="both"/>
        <w:rPr>
          <w:sz w:val="20"/>
        </w:rPr>
      </w:pPr>
      <w:r>
        <w:rPr>
          <w:sz w:val="20"/>
        </w:rPr>
        <w:t>Target</w:t>
      </w:r>
      <w:r>
        <w:rPr>
          <w:sz w:val="20"/>
        </w:rPr>
        <w:t>ed areas which provide administrative and academic/student support within the educational mission of the institution will identify objectives and/or outcomes, as applicable; measure the extent to which such objectives/outcomes are achieved; and document ev</w:t>
      </w:r>
      <w:r>
        <w:rPr>
          <w:sz w:val="20"/>
        </w:rPr>
        <w:t>idence of improvement based on analysis of corresponding results.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Established objectives/outcomes should align with the current HSC strategic plan and stated institutional and school/departmental-specific mission statements, as </w:t>
      </w:r>
      <w:r>
        <w:rPr>
          <w:spacing w:val="-2"/>
          <w:sz w:val="20"/>
        </w:rPr>
        <w:t>applicable.</w:t>
      </w:r>
    </w:p>
    <w:p w14:paraId="7B017D38" w14:textId="77777777" w:rsidR="000519D0" w:rsidRDefault="00AA1235">
      <w:pPr>
        <w:pStyle w:val="Heading1"/>
        <w:spacing w:before="170"/>
        <w:rPr>
          <w:u w:val="none"/>
        </w:rPr>
      </w:pPr>
      <w:r>
        <w:rPr>
          <w:spacing w:val="-2"/>
        </w:rPr>
        <w:t>PROCEDURES</w:t>
      </w:r>
    </w:p>
    <w:p w14:paraId="032DD2A5" w14:textId="77777777" w:rsidR="000519D0" w:rsidRDefault="00AA1235">
      <w:pPr>
        <w:pStyle w:val="ListParagraph"/>
        <w:numPr>
          <w:ilvl w:val="1"/>
          <w:numId w:val="1"/>
        </w:numPr>
        <w:tabs>
          <w:tab w:val="left" w:pos="1185"/>
          <w:tab w:val="left" w:pos="1186"/>
        </w:tabs>
        <w:rPr>
          <w:sz w:val="20"/>
        </w:rPr>
      </w:pP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targeted</w:t>
      </w:r>
      <w:r>
        <w:rPr>
          <w:spacing w:val="-2"/>
          <w:sz w:val="20"/>
        </w:rPr>
        <w:t xml:space="preserve"> </w:t>
      </w:r>
      <w:r>
        <w:rPr>
          <w:sz w:val="20"/>
        </w:rPr>
        <w:t>entity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annual continuous</w:t>
      </w:r>
      <w:r>
        <w:rPr>
          <w:spacing w:val="-2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Weave.</w:t>
      </w:r>
    </w:p>
    <w:p w14:paraId="0FF6BCD1" w14:textId="77777777" w:rsidR="000519D0" w:rsidRDefault="00AA1235">
      <w:pPr>
        <w:pStyle w:val="ListParagraph"/>
        <w:numPr>
          <w:ilvl w:val="1"/>
          <w:numId w:val="1"/>
        </w:numPr>
        <w:tabs>
          <w:tab w:val="left" w:pos="1185"/>
          <w:tab w:val="left" w:pos="1186"/>
        </w:tabs>
        <w:spacing w:before="171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2"/>
          <w:sz w:val="20"/>
        </w:rPr>
        <w:t xml:space="preserve"> </w:t>
      </w:r>
      <w:r>
        <w:rPr>
          <w:sz w:val="20"/>
        </w:rPr>
        <w:t>continuous</w:t>
      </w:r>
      <w:r>
        <w:rPr>
          <w:spacing w:val="3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plan.</w:t>
      </w:r>
    </w:p>
    <w:p w14:paraId="07B64C3D" w14:textId="77777777" w:rsidR="000519D0" w:rsidRDefault="00AA1235">
      <w:pPr>
        <w:pStyle w:val="ListParagraph"/>
        <w:numPr>
          <w:ilvl w:val="1"/>
          <w:numId w:val="1"/>
        </w:numPr>
        <w:tabs>
          <w:tab w:val="left" w:pos="1186"/>
        </w:tabs>
        <w:spacing w:before="172"/>
        <w:ind w:right="114"/>
        <w:jc w:val="both"/>
        <w:rPr>
          <w:sz w:val="20"/>
        </w:rPr>
      </w:pPr>
      <w:r>
        <w:rPr>
          <w:sz w:val="20"/>
        </w:rPr>
        <w:t xml:space="preserve">Excluding academic programs, targeted areas which are </w:t>
      </w:r>
      <w:r>
        <w:rPr>
          <w:sz w:val="20"/>
        </w:rPr>
        <w:t>required to complete an annual continuous improvement plan will be determined cooperatively between the TTUHSC</w:t>
      </w:r>
      <w:r>
        <w:rPr>
          <w:spacing w:val="-1"/>
          <w:sz w:val="20"/>
        </w:rPr>
        <w:t xml:space="preserve"> </w:t>
      </w:r>
      <w:r>
        <w:rPr>
          <w:sz w:val="20"/>
        </w:rPr>
        <w:t>Weave administrators and an appropriate representative from the targeted area.</w:t>
      </w:r>
      <w:r>
        <w:rPr>
          <w:spacing w:val="40"/>
          <w:sz w:val="20"/>
        </w:rPr>
        <w:t xml:space="preserve"> </w:t>
      </w:r>
      <w:r>
        <w:rPr>
          <w:sz w:val="20"/>
        </w:rPr>
        <w:t>Appropriate representatives will include those at</w:t>
      </w:r>
      <w:r>
        <w:rPr>
          <w:spacing w:val="40"/>
          <w:sz w:val="20"/>
        </w:rPr>
        <w:t xml:space="preserve"> </w:t>
      </w:r>
      <w:r>
        <w:rPr>
          <w:sz w:val="20"/>
        </w:rPr>
        <w:t>the Director’s l</w:t>
      </w:r>
      <w:r>
        <w:rPr>
          <w:sz w:val="20"/>
        </w:rPr>
        <w:t>evel or above.</w:t>
      </w:r>
    </w:p>
    <w:p w14:paraId="77976E03" w14:textId="77777777" w:rsidR="000519D0" w:rsidRDefault="00AA1235">
      <w:pPr>
        <w:pStyle w:val="ListParagraph"/>
        <w:numPr>
          <w:ilvl w:val="1"/>
          <w:numId w:val="1"/>
        </w:numPr>
        <w:tabs>
          <w:tab w:val="left" w:pos="1186"/>
        </w:tabs>
        <w:spacing w:before="168"/>
        <w:ind w:right="113"/>
        <w:jc w:val="both"/>
        <w:rPr>
          <w:sz w:val="20"/>
        </w:rPr>
      </w:pPr>
      <w:r>
        <w:rPr>
          <w:sz w:val="20"/>
        </w:rPr>
        <w:t xml:space="preserve">Each reporting cycle will begin on the first day of September and end on the last day of August of every </w:t>
      </w:r>
      <w:r>
        <w:rPr>
          <w:spacing w:val="-2"/>
          <w:sz w:val="20"/>
        </w:rPr>
        <w:t>year.</w:t>
      </w:r>
    </w:p>
    <w:p w14:paraId="07646F97" w14:textId="77777777" w:rsidR="000519D0" w:rsidRDefault="000519D0">
      <w:pPr>
        <w:pStyle w:val="BodyText"/>
        <w:spacing w:before="3"/>
        <w:ind w:left="0"/>
      </w:pPr>
    </w:p>
    <w:p w14:paraId="3319A921" w14:textId="77777777" w:rsidR="000519D0" w:rsidRDefault="00AA1235">
      <w:pPr>
        <w:pStyle w:val="ListParagraph"/>
        <w:numPr>
          <w:ilvl w:val="1"/>
          <w:numId w:val="1"/>
        </w:numPr>
        <w:tabs>
          <w:tab w:val="left" w:pos="118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Deadlines for submission of the previous year’s continuous improvement plan will be the last day of September of</w:t>
      </w:r>
      <w:r>
        <w:rPr>
          <w:spacing w:val="-1"/>
          <w:sz w:val="20"/>
        </w:rPr>
        <w:t xml:space="preserve"> </w:t>
      </w:r>
      <w:r>
        <w:rPr>
          <w:sz w:val="20"/>
        </w:rPr>
        <w:t>every year.</w:t>
      </w:r>
      <w:r>
        <w:rPr>
          <w:spacing w:val="40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requests</w:t>
      </w:r>
      <w:r>
        <w:rPr>
          <w:spacing w:val="-3"/>
          <w:sz w:val="20"/>
        </w:rPr>
        <w:t xml:space="preserve"> </w:t>
      </w:r>
      <w:r>
        <w:rPr>
          <w:sz w:val="20"/>
        </w:rPr>
        <w:t>for a</w:t>
      </w:r>
      <w:r>
        <w:rPr>
          <w:spacing w:val="-1"/>
          <w:sz w:val="20"/>
        </w:rPr>
        <w:t xml:space="preserve"> </w:t>
      </w:r>
      <w:r>
        <w:rPr>
          <w:sz w:val="20"/>
        </w:rPr>
        <w:t>reasonable deadline extension must</w:t>
      </w:r>
      <w:r>
        <w:rPr>
          <w:spacing w:val="-2"/>
          <w:sz w:val="20"/>
        </w:rPr>
        <w:t xml:space="preserve"> </w:t>
      </w:r>
      <w:r>
        <w:rPr>
          <w:sz w:val="20"/>
        </w:rPr>
        <w:t>be submitted in writing to a TTUHSC Weave administrator.</w:t>
      </w:r>
    </w:p>
    <w:p w14:paraId="7A7A3672" w14:textId="77777777" w:rsidR="000519D0" w:rsidRDefault="000519D0">
      <w:pPr>
        <w:pStyle w:val="BodyText"/>
        <w:spacing w:before="10"/>
        <w:ind w:left="0"/>
        <w:rPr>
          <w:sz w:val="8"/>
        </w:rPr>
      </w:pPr>
    </w:p>
    <w:p w14:paraId="3D879CFD" w14:textId="77777777" w:rsidR="000519D0" w:rsidRDefault="00AA1235">
      <w:pPr>
        <w:tabs>
          <w:tab w:val="left" w:pos="8443"/>
        </w:tabs>
        <w:spacing w:before="60" w:line="231" w:lineRule="exact"/>
        <w:ind w:left="4942"/>
        <w:rPr>
          <w:sz w:val="14"/>
        </w:rPr>
      </w:pP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position w:val="1"/>
          <w:sz w:val="14"/>
        </w:rPr>
        <w:t>TTUHSC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APC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–</w:t>
      </w:r>
      <w:r>
        <w:rPr>
          <w:spacing w:val="-2"/>
          <w:position w:val="1"/>
          <w:sz w:val="14"/>
        </w:rPr>
        <w:t xml:space="preserve"> </w:t>
      </w:r>
      <w:r>
        <w:rPr>
          <w:spacing w:val="-4"/>
          <w:position w:val="1"/>
          <w:sz w:val="14"/>
        </w:rPr>
        <w:t>Weave</w:t>
      </w:r>
    </w:p>
    <w:p w14:paraId="169E6D34" w14:textId="77777777" w:rsidR="000519D0" w:rsidRDefault="00AA1235">
      <w:pPr>
        <w:spacing w:line="157" w:lineRule="exact"/>
        <w:ind w:left="8114"/>
        <w:rPr>
          <w:sz w:val="14"/>
        </w:rPr>
      </w:pPr>
      <w:r>
        <w:rPr>
          <w:sz w:val="14"/>
        </w:rPr>
        <w:t>Established</w:t>
      </w:r>
      <w:r>
        <w:rPr>
          <w:spacing w:val="-7"/>
          <w:sz w:val="14"/>
        </w:rPr>
        <w:t xml:space="preserve"> </w:t>
      </w:r>
      <w:r>
        <w:rPr>
          <w:sz w:val="14"/>
        </w:rPr>
        <w:t>March</w:t>
      </w:r>
      <w:r>
        <w:rPr>
          <w:spacing w:val="-5"/>
          <w:sz w:val="14"/>
        </w:rPr>
        <w:t xml:space="preserve"> </w:t>
      </w:r>
      <w:r>
        <w:rPr>
          <w:sz w:val="14"/>
        </w:rPr>
        <w:t>10,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2011</w:t>
      </w:r>
    </w:p>
    <w:p w14:paraId="7DC2ED4F" w14:textId="4A945B23" w:rsidR="00CF474E" w:rsidRPr="00CF474E" w:rsidRDefault="00CF474E" w:rsidP="00CF474E">
      <w:pPr>
        <w:spacing w:line="170" w:lineRule="exact"/>
        <w:ind w:left="8099"/>
        <w:rPr>
          <w:spacing w:val="-4"/>
          <w:sz w:val="14"/>
        </w:rPr>
      </w:pPr>
      <w:r>
        <w:rPr>
          <w:sz w:val="14"/>
        </w:rPr>
        <w:t xml:space="preserve">      Revised</w:t>
      </w:r>
      <w:r>
        <w:rPr>
          <w:spacing w:val="-5"/>
          <w:sz w:val="14"/>
        </w:rPr>
        <w:t xml:space="preserve"> </w:t>
      </w:r>
      <w:r>
        <w:rPr>
          <w:sz w:val="14"/>
        </w:rPr>
        <w:t>March 23, 2023</w:t>
      </w:r>
    </w:p>
    <w:sectPr w:rsidR="00CF474E" w:rsidRPr="00CF474E">
      <w:type w:val="continuous"/>
      <w:pgSz w:w="12240" w:h="15840"/>
      <w:pgMar w:top="1380" w:right="13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E32D7"/>
    <w:multiLevelType w:val="hybridMultilevel"/>
    <w:tmpl w:val="36EC85AA"/>
    <w:lvl w:ilvl="0" w:tplc="4A2622DA">
      <w:start w:val="1"/>
      <w:numFmt w:val="decimal"/>
      <w:lvlText w:val="%1."/>
      <w:lvlJc w:val="left"/>
      <w:pPr>
        <w:ind w:left="118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524ED7D4">
      <w:start w:val="1"/>
      <w:numFmt w:val="lowerLetter"/>
      <w:lvlText w:val="%2."/>
      <w:lvlJc w:val="left"/>
      <w:pPr>
        <w:ind w:left="118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964428D4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9C90C6E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F0D8371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9C74925C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5332098E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E41C8634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  <w:lvl w:ilvl="8" w:tplc="F3662E20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D0"/>
    <w:rsid w:val="000519D0"/>
    <w:rsid w:val="00AA1235"/>
    <w:rsid w:val="00C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56A0C5"/>
  <w15:docId w15:val="{78935B7A-BA37-41EB-9E88-191EEC9B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5" w:after="96"/>
      <w:ind w:left="10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1"/>
      <w:ind w:left="118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kawood</dc:creator>
  <cp:lastModifiedBy>Page, Kara</cp:lastModifiedBy>
  <cp:revision>2</cp:revision>
  <dcterms:created xsi:type="dcterms:W3CDTF">2026-03-12T20:18:00Z</dcterms:created>
  <dcterms:modified xsi:type="dcterms:W3CDTF">2026-03-12T20:18:00Z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2023-03-23T00:00:00Z</vt:filetime>
  </property>
</Properties>
</file>